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91B6E">
      <w:pPr>
        <w:widowControl/>
        <w:spacing w:line="560" w:lineRule="exact"/>
        <w:jc w:val="left"/>
      </w:pPr>
      <w:r>
        <w:rPr>
          <w:rFonts w:hint="eastAsia" w:ascii="仿宋_GB2312" w:eastAsia="仿宋_GB2312"/>
          <w:sz w:val="32"/>
          <w:szCs w:val="32"/>
        </w:rPr>
        <w:t>附件</w:t>
      </w:r>
      <w:r>
        <w:rPr>
          <w:rFonts w:hint="eastAsia" w:ascii="仿宋_GB2312" w:eastAsia="仿宋_GB2312"/>
          <w:sz w:val="32"/>
          <w:szCs w:val="32"/>
          <w:lang w:val="en-US" w:eastAsia="zh-CN"/>
        </w:rPr>
        <w:t>1</w:t>
      </w:r>
      <w:r>
        <w:rPr>
          <w:rFonts w:hint="eastAsia" w:ascii="仿宋_GB2312" w:eastAsia="仿宋_GB2312"/>
          <w:sz w:val="32"/>
          <w:szCs w:val="32"/>
        </w:rPr>
        <w:t>:</w:t>
      </w:r>
      <w:bookmarkStart w:id="96" w:name="_GoBack"/>
      <w:bookmarkEnd w:id="96"/>
    </w:p>
    <w:p w14:paraId="59B19B52">
      <w:pPr>
        <w:pStyle w:val="7"/>
        <w:spacing w:line="310" w:lineRule="auto"/>
      </w:pPr>
    </w:p>
    <w:p w14:paraId="03D5E07B">
      <w:pPr>
        <w:spacing w:before="81" w:line="189" w:lineRule="auto"/>
        <w:ind w:left="530"/>
        <w:outlineLvl w:val="0"/>
        <w:rPr>
          <w:rFonts w:ascii="Times New Roman" w:hAnsi="Times New Roman" w:eastAsia="Times New Roman" w:cs="Times New Roman"/>
          <w:sz w:val="28"/>
          <w:szCs w:val="28"/>
        </w:rPr>
      </w:pPr>
      <w:bookmarkStart w:id="0" w:name="_Toc16334"/>
      <w:r>
        <w:rPr>
          <w:rFonts w:ascii="Times New Roman" w:hAnsi="Times New Roman" w:eastAsia="Times New Roman" w:cs="Times New Roman"/>
          <w:spacing w:val="-2"/>
          <w:sz w:val="28"/>
          <w:szCs w:val="28"/>
        </w:rPr>
        <w:t>ICS</w:t>
      </w:r>
      <w:bookmarkEnd w:id="0"/>
    </w:p>
    <w:p w14:paraId="3CA6ECA9">
      <w:pPr>
        <w:spacing w:before="76" w:line="203" w:lineRule="auto"/>
        <w:ind w:left="1602"/>
        <w:rPr>
          <w:rFonts w:ascii="微软雅黑" w:hAnsi="微软雅黑" w:eastAsia="微软雅黑" w:cs="微软雅黑"/>
          <w:sz w:val="53"/>
          <w:szCs w:val="53"/>
        </w:rPr>
      </w:pPr>
      <w:r>
        <w:rPr>
          <w:rFonts w:ascii="黑体" w:hAnsi="黑体" w:eastAsia="黑体" w:cs="黑体"/>
          <w:b/>
          <w:bCs/>
          <w:spacing w:val="4"/>
          <w:sz w:val="31"/>
          <w:szCs w:val="31"/>
        </w:rPr>
        <w:t>中国建筑业协会团体标准</w:t>
      </w:r>
      <w:r>
        <w:rPr>
          <w:rFonts w:ascii="黑体" w:hAnsi="黑体" w:eastAsia="黑体" w:cs="黑体"/>
          <w:spacing w:val="4"/>
          <w:sz w:val="31"/>
          <w:szCs w:val="31"/>
        </w:rPr>
        <w:t xml:space="preserve">   </w:t>
      </w:r>
      <w:r>
        <w:rPr>
          <w:rFonts w:ascii="微软雅黑" w:hAnsi="微软雅黑" w:eastAsia="微软雅黑" w:cs="微软雅黑"/>
          <w:spacing w:val="4"/>
          <w:sz w:val="53"/>
          <w:szCs w:val="53"/>
        </w:rPr>
        <w:t>团体标准</w:t>
      </w:r>
    </w:p>
    <w:p w14:paraId="118EEEC8">
      <w:pPr>
        <w:pStyle w:val="7"/>
        <w:spacing w:line="271" w:lineRule="auto"/>
      </w:pPr>
    </w:p>
    <w:p w14:paraId="02A90314">
      <w:pPr>
        <w:spacing w:before="91" w:line="186" w:lineRule="auto"/>
        <w:ind w:left="713"/>
        <w:rPr>
          <w:rFonts w:ascii="Times New Roman" w:hAnsi="Times New Roman" w:eastAsia="Times New Roman" w:cs="Times New Roman"/>
          <w:sz w:val="28"/>
          <w:szCs w:val="28"/>
        </w:rPr>
      </w:pPr>
      <w:r>
        <w:rPr>
          <w:rFonts w:hint="eastAsia" w:ascii="Times New Roman" w:hAnsi="Times New Roman" w:eastAsia="宋体" w:cs="Times New Roman"/>
          <w:b/>
          <w:bCs/>
          <w:sz w:val="30"/>
          <w:szCs w:val="30"/>
          <w:lang w:val="en-US" w:eastAsia="zh-CN"/>
        </w:rPr>
        <w:t>P</w:t>
      </w:r>
      <w:r>
        <w:rPr>
          <w:rFonts w:ascii="Times New Roman" w:hAnsi="Times New Roman" w:eastAsia="Times New Roman" w:cs="Times New Roman"/>
          <w:b/>
          <w:bCs/>
          <w:spacing w:val="1"/>
          <w:sz w:val="30"/>
          <w:szCs w:val="30"/>
        </w:rPr>
        <w:t xml:space="preserve">                       </w:t>
      </w:r>
      <w:r>
        <w:rPr>
          <w:rFonts w:ascii="Times New Roman" w:hAnsi="Times New Roman" w:eastAsia="Times New Roman" w:cs="Times New Roman"/>
          <w:b/>
          <w:bCs/>
          <w:sz w:val="30"/>
          <w:szCs w:val="30"/>
        </w:rPr>
        <w:t xml:space="preserve">                           </w:t>
      </w:r>
      <w:r>
        <w:rPr>
          <w:rFonts w:ascii="Times New Roman" w:hAnsi="Times New Roman" w:eastAsia="Times New Roman" w:cs="Times New Roman"/>
          <w:sz w:val="28"/>
          <w:szCs w:val="28"/>
        </w:rPr>
        <w:t>T/CCIAT xxxx</w:t>
      </w:r>
      <w:r>
        <w:rPr>
          <w:rFonts w:ascii="宋体" w:hAnsi="宋体" w:eastAsia="宋体" w:cs="宋体"/>
          <w:sz w:val="28"/>
          <w:szCs w:val="28"/>
        </w:rPr>
        <w:t xml:space="preserve">— </w:t>
      </w:r>
      <w:r>
        <w:rPr>
          <w:rFonts w:ascii="Times New Roman" w:hAnsi="Times New Roman" w:eastAsia="Times New Roman" w:cs="Times New Roman"/>
          <w:sz w:val="28"/>
          <w:szCs w:val="28"/>
        </w:rPr>
        <w:t>20xx</w:t>
      </w:r>
    </w:p>
    <w:p w14:paraId="5FA87D63">
      <w:pPr>
        <w:pStyle w:val="7"/>
        <w:spacing w:line="324" w:lineRule="auto"/>
      </w:pPr>
    </w:p>
    <w:p w14:paraId="367DEDD5">
      <w:pPr>
        <w:spacing w:line="25" w:lineRule="exact"/>
        <w:ind w:firstLine="683"/>
      </w:pPr>
      <w:r>
        <w:drawing>
          <wp:inline distT="0" distB="0" distL="0" distR="0">
            <wp:extent cx="4686300" cy="158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7"/>
                    <a:stretch>
                      <a:fillRect/>
                    </a:stretch>
                  </pic:blipFill>
                  <pic:spPr>
                    <a:xfrm>
                      <a:off x="0" y="0"/>
                      <a:ext cx="4686300" cy="15875"/>
                    </a:xfrm>
                    <a:prstGeom prst="rect">
                      <a:avLst/>
                    </a:prstGeom>
                  </pic:spPr>
                </pic:pic>
              </a:graphicData>
            </a:graphic>
          </wp:inline>
        </w:drawing>
      </w:r>
    </w:p>
    <w:p w14:paraId="507C2863">
      <w:pPr>
        <w:pStyle w:val="7"/>
        <w:spacing w:line="241" w:lineRule="auto"/>
      </w:pPr>
    </w:p>
    <w:p w14:paraId="5805135C">
      <w:pPr>
        <w:pStyle w:val="7"/>
        <w:spacing w:line="241" w:lineRule="auto"/>
      </w:pPr>
    </w:p>
    <w:p w14:paraId="682E6910">
      <w:pPr>
        <w:pStyle w:val="7"/>
        <w:spacing w:line="241" w:lineRule="auto"/>
      </w:pPr>
    </w:p>
    <w:p w14:paraId="33BAD792">
      <w:pPr>
        <w:pStyle w:val="7"/>
        <w:spacing w:line="241" w:lineRule="auto"/>
      </w:pPr>
    </w:p>
    <w:p w14:paraId="12AF9A70">
      <w:pPr>
        <w:pStyle w:val="7"/>
        <w:spacing w:line="241" w:lineRule="auto"/>
      </w:pPr>
    </w:p>
    <w:p w14:paraId="2A993E39">
      <w:pPr>
        <w:pStyle w:val="7"/>
        <w:spacing w:line="241" w:lineRule="auto"/>
      </w:pPr>
    </w:p>
    <w:p w14:paraId="0FC13115">
      <w:pPr>
        <w:pStyle w:val="7"/>
        <w:spacing w:line="242" w:lineRule="auto"/>
      </w:pPr>
    </w:p>
    <w:p w14:paraId="0A748035">
      <w:pPr>
        <w:pStyle w:val="7"/>
        <w:spacing w:line="242" w:lineRule="auto"/>
      </w:pPr>
    </w:p>
    <w:p w14:paraId="450B5B86">
      <w:pPr>
        <w:spacing w:before="140" w:line="225" w:lineRule="auto"/>
        <w:ind w:left="2100"/>
        <w:rPr>
          <w:rFonts w:ascii="黑体" w:hAnsi="黑体" w:eastAsia="黑体" w:cs="黑体"/>
          <w:sz w:val="43"/>
          <w:szCs w:val="43"/>
        </w:rPr>
      </w:pPr>
      <w:r>
        <w:rPr>
          <w:rFonts w:hint="eastAsia" w:ascii="黑体" w:hAnsi="黑体" w:eastAsia="黑体" w:cs="黑体"/>
          <w:spacing w:val="8"/>
          <w:sz w:val="43"/>
          <w:szCs w:val="43"/>
        </w:rPr>
        <w:t>零碳建筑施工技术标准</w:t>
      </w:r>
    </w:p>
    <w:p w14:paraId="461AF33A">
      <w:pPr>
        <w:pStyle w:val="7"/>
        <w:spacing w:line="246" w:lineRule="auto"/>
      </w:pPr>
    </w:p>
    <w:p w14:paraId="0D4C74B2">
      <w:pPr>
        <w:spacing w:before="81" w:line="344" w:lineRule="auto"/>
        <w:ind w:right="1651"/>
        <w:jc w:val="center"/>
        <w:rPr>
          <w:rFonts w:ascii="Times New Roman" w:hAnsi="Times New Roman" w:eastAsia="Times New Roman" w:cs="Times New Roman"/>
          <w:sz w:val="28"/>
          <w:szCs w:val="28"/>
        </w:rPr>
      </w:pPr>
      <w:r>
        <w:rPr>
          <w:rFonts w:hint="eastAsia" w:ascii="Times New Roman" w:hAnsi="Times New Roman" w:eastAsia="宋体" w:cs="Times New Roman"/>
          <w:sz w:val="28"/>
          <w:szCs w:val="28"/>
          <w:lang w:val="en-US" w:eastAsia="zh-CN"/>
        </w:rPr>
        <w:t xml:space="preserve">              Z</w:t>
      </w:r>
      <w:r>
        <w:rPr>
          <w:rFonts w:hint="eastAsia" w:ascii="Times New Roman" w:hAnsi="Times New Roman" w:eastAsia="Times New Roman" w:cs="Times New Roman"/>
          <w:sz w:val="28"/>
          <w:szCs w:val="28"/>
        </w:rPr>
        <w:t xml:space="preserve">ero </w:t>
      </w:r>
      <w:r>
        <w:rPr>
          <w:rFonts w:hint="eastAsia" w:ascii="Times New Roman" w:hAnsi="Times New Roman" w:eastAsia="宋体" w:cs="Times New Roman"/>
          <w:sz w:val="28"/>
          <w:szCs w:val="28"/>
          <w:lang w:val="en-US" w:eastAsia="zh-CN"/>
        </w:rPr>
        <w:t>c</w:t>
      </w:r>
      <w:r>
        <w:rPr>
          <w:rFonts w:hint="eastAsia" w:ascii="Times New Roman" w:hAnsi="Times New Roman" w:eastAsia="Times New Roman" w:cs="Times New Roman"/>
          <w:sz w:val="28"/>
          <w:szCs w:val="28"/>
        </w:rPr>
        <w:t>arbon</w:t>
      </w:r>
      <w:r>
        <w:rPr>
          <w:rFonts w:hint="eastAsia" w:ascii="Times New Roman" w:hAnsi="Times New Roman" w:eastAsia="宋体" w:cs="Times New Roman"/>
          <w:sz w:val="28"/>
          <w:szCs w:val="28"/>
          <w:lang w:val="en-US" w:eastAsia="zh-CN"/>
        </w:rPr>
        <w:t xml:space="preserve"> c</w:t>
      </w:r>
      <w:r>
        <w:rPr>
          <w:rFonts w:ascii="Times New Roman" w:hAnsi="Times New Roman" w:eastAsia="Times New Roman" w:cs="Times New Roman"/>
          <w:sz w:val="28"/>
          <w:szCs w:val="28"/>
        </w:rPr>
        <w:t xml:space="preserve">onstruction </w:t>
      </w:r>
      <w:r>
        <w:rPr>
          <w:rFonts w:hint="eastAsia" w:ascii="Times New Roman" w:hAnsi="Times New Roman" w:eastAsia="宋体" w:cs="Times New Roman"/>
          <w:sz w:val="28"/>
          <w:szCs w:val="28"/>
          <w:lang w:val="en-US" w:eastAsia="zh-CN"/>
        </w:rPr>
        <w:t>t</w:t>
      </w:r>
      <w:r>
        <w:rPr>
          <w:rFonts w:hint="eastAsia" w:ascii="Times New Roman" w:hAnsi="Times New Roman" w:eastAsia="Times New Roman" w:cs="Times New Roman"/>
          <w:sz w:val="28"/>
          <w:szCs w:val="28"/>
        </w:rPr>
        <w:t>echnical standard</w:t>
      </w:r>
      <w:r>
        <w:rPr>
          <w:rFonts w:ascii="Times New Roman" w:hAnsi="Times New Roman" w:eastAsia="Times New Roman" w:cs="Times New Roman"/>
          <w:spacing w:val="-1"/>
          <w:sz w:val="28"/>
          <w:szCs w:val="28"/>
        </w:rPr>
        <w:t xml:space="preserve"> for</w:t>
      </w:r>
      <w:r>
        <w:rPr>
          <w:rFonts w:ascii="Times New Roman" w:hAnsi="Times New Roman" w:eastAsia="Times New Roman" w:cs="Times New Roman"/>
          <w:sz w:val="28"/>
          <w:szCs w:val="28"/>
        </w:rPr>
        <w:t xml:space="preserve"> </w:t>
      </w:r>
      <w:r>
        <w:rPr>
          <w:rFonts w:hint="eastAsia" w:ascii="Times New Roman" w:hAnsi="Times New Roman" w:eastAsia="宋体" w:cs="Times New Roman"/>
          <w:spacing w:val="-1"/>
          <w:sz w:val="28"/>
          <w:szCs w:val="28"/>
          <w:lang w:val="en-US" w:eastAsia="zh-CN"/>
        </w:rPr>
        <w:t>building</w:t>
      </w:r>
      <w:r>
        <w:rPr>
          <w:rFonts w:ascii="Times New Roman" w:hAnsi="Times New Roman" w:eastAsia="Times New Roman" w:cs="Times New Roman"/>
          <w:spacing w:val="-1"/>
          <w:sz w:val="28"/>
          <w:szCs w:val="28"/>
        </w:rPr>
        <w:t>s</w:t>
      </w:r>
    </w:p>
    <w:p w14:paraId="0C1FA85B">
      <w:pPr>
        <w:pStyle w:val="7"/>
        <w:spacing w:line="247" w:lineRule="auto"/>
      </w:pPr>
    </w:p>
    <w:p w14:paraId="6D551FC5">
      <w:pPr>
        <w:pStyle w:val="7"/>
        <w:spacing w:line="247" w:lineRule="auto"/>
      </w:pPr>
    </w:p>
    <w:p w14:paraId="44E0AB4B">
      <w:pPr>
        <w:pStyle w:val="7"/>
        <w:spacing w:line="247" w:lineRule="auto"/>
      </w:pPr>
    </w:p>
    <w:p w14:paraId="7C3DD827">
      <w:pPr>
        <w:pStyle w:val="7"/>
        <w:spacing w:line="248" w:lineRule="auto"/>
        <w:jc w:val="center"/>
        <w:rPr>
          <w:rFonts w:hint="default" w:ascii="黑体" w:hAnsi="黑体" w:eastAsia="黑体" w:cs="黑体"/>
          <w:snapToGrid w:val="0"/>
          <w:color w:val="000000"/>
          <w:spacing w:val="8"/>
          <w:kern w:val="0"/>
          <w:sz w:val="43"/>
          <w:szCs w:val="43"/>
          <w:lang w:val="en-US" w:eastAsia="zh-CN" w:bidi="ar-SA"/>
        </w:rPr>
      </w:pPr>
      <w:r>
        <w:rPr>
          <w:rFonts w:hint="eastAsia" w:ascii="黑体" w:hAnsi="黑体" w:eastAsia="黑体" w:cs="黑体"/>
          <w:snapToGrid w:val="0"/>
          <w:color w:val="000000"/>
          <w:spacing w:val="8"/>
          <w:kern w:val="0"/>
          <w:sz w:val="43"/>
          <w:szCs w:val="43"/>
          <w:lang w:val="en-US" w:eastAsia="zh-CN" w:bidi="ar-SA"/>
        </w:rPr>
        <w:t>（征求意见稿）</w:t>
      </w:r>
    </w:p>
    <w:p w14:paraId="42A85210">
      <w:pPr>
        <w:pStyle w:val="7"/>
        <w:spacing w:line="247" w:lineRule="auto"/>
      </w:pPr>
    </w:p>
    <w:p w14:paraId="2AD7463A">
      <w:pPr>
        <w:pStyle w:val="7"/>
        <w:spacing w:line="247" w:lineRule="auto"/>
      </w:pPr>
    </w:p>
    <w:p w14:paraId="7E252999">
      <w:pPr>
        <w:pStyle w:val="7"/>
        <w:spacing w:line="247" w:lineRule="auto"/>
      </w:pPr>
    </w:p>
    <w:p w14:paraId="26D7829D">
      <w:pPr>
        <w:pStyle w:val="7"/>
        <w:spacing w:line="248" w:lineRule="auto"/>
      </w:pPr>
    </w:p>
    <w:p w14:paraId="07B041F5">
      <w:pPr>
        <w:pStyle w:val="7"/>
        <w:spacing w:line="248" w:lineRule="auto"/>
      </w:pPr>
    </w:p>
    <w:p w14:paraId="5AF35418">
      <w:pPr>
        <w:pStyle w:val="7"/>
        <w:spacing w:line="248" w:lineRule="auto"/>
      </w:pPr>
    </w:p>
    <w:p w14:paraId="3234AE8A">
      <w:pPr>
        <w:pStyle w:val="7"/>
        <w:spacing w:line="248" w:lineRule="auto"/>
      </w:pPr>
    </w:p>
    <w:p w14:paraId="2ED62A7A">
      <w:pPr>
        <w:pStyle w:val="7"/>
        <w:spacing w:line="248" w:lineRule="auto"/>
      </w:pPr>
    </w:p>
    <w:p w14:paraId="15FB0277">
      <w:pPr>
        <w:pStyle w:val="7"/>
        <w:spacing w:line="248" w:lineRule="auto"/>
      </w:pPr>
    </w:p>
    <w:p w14:paraId="47D0F60C">
      <w:pPr>
        <w:pStyle w:val="7"/>
        <w:spacing w:line="248" w:lineRule="auto"/>
      </w:pPr>
    </w:p>
    <w:p w14:paraId="1AB93066">
      <w:pPr>
        <w:pStyle w:val="7"/>
        <w:spacing w:line="248" w:lineRule="auto"/>
      </w:pPr>
    </w:p>
    <w:p w14:paraId="1C6FFC2D">
      <w:pPr>
        <w:pStyle w:val="7"/>
        <w:spacing w:line="248" w:lineRule="auto"/>
      </w:pPr>
    </w:p>
    <w:p w14:paraId="0852F82D">
      <w:pPr>
        <w:pStyle w:val="7"/>
        <w:spacing w:line="248" w:lineRule="auto"/>
      </w:pPr>
    </w:p>
    <w:p w14:paraId="74FC9E10">
      <w:pPr>
        <w:spacing w:before="91" w:line="222" w:lineRule="auto"/>
        <w:ind w:left="935"/>
        <w:rPr>
          <w:rFonts w:ascii="宋体" w:hAnsi="宋体" w:eastAsia="宋体" w:cs="宋体"/>
          <w:sz w:val="28"/>
          <w:szCs w:val="28"/>
        </w:rPr>
      </w:pPr>
      <w:r>
        <w:rPr>
          <w:rFonts w:ascii="黑体" w:hAnsi="黑体" w:eastAsia="黑体" w:cs="黑体"/>
          <w:b/>
          <w:bCs/>
          <w:spacing w:val="-3"/>
          <w:sz w:val="28"/>
          <w:szCs w:val="28"/>
        </w:rPr>
        <w:t>20xx</w:t>
      </w:r>
      <w:r>
        <w:rPr>
          <w:rFonts w:ascii="宋体" w:hAnsi="宋体" w:eastAsia="宋体" w:cs="宋体"/>
          <w:b/>
          <w:bCs/>
          <w:spacing w:val="-3"/>
          <w:sz w:val="28"/>
          <w:szCs w:val="28"/>
        </w:rPr>
        <w:t>—</w:t>
      </w:r>
      <w:r>
        <w:rPr>
          <w:rFonts w:ascii="宋体" w:hAnsi="宋体" w:eastAsia="宋体" w:cs="宋体"/>
          <w:spacing w:val="-3"/>
          <w:sz w:val="28"/>
          <w:szCs w:val="28"/>
        </w:rPr>
        <w:t xml:space="preserve"> </w:t>
      </w:r>
      <w:r>
        <w:rPr>
          <w:rFonts w:ascii="黑体" w:hAnsi="黑体" w:eastAsia="黑体" w:cs="黑体"/>
          <w:b/>
          <w:bCs/>
          <w:spacing w:val="-3"/>
          <w:sz w:val="28"/>
          <w:szCs w:val="28"/>
        </w:rPr>
        <w:t>xx</w:t>
      </w:r>
      <w:r>
        <w:rPr>
          <w:rFonts w:ascii="宋体" w:hAnsi="宋体" w:eastAsia="宋体" w:cs="宋体"/>
          <w:b/>
          <w:bCs/>
          <w:spacing w:val="-3"/>
          <w:sz w:val="28"/>
          <w:szCs w:val="28"/>
        </w:rPr>
        <w:t>—</w:t>
      </w:r>
      <w:r>
        <w:rPr>
          <w:rFonts w:ascii="黑体" w:hAnsi="黑体" w:eastAsia="黑体" w:cs="黑体"/>
          <w:b/>
          <w:bCs/>
          <w:spacing w:val="-3"/>
          <w:sz w:val="28"/>
          <w:szCs w:val="28"/>
        </w:rPr>
        <w:t>xx</w:t>
      </w:r>
      <w:r>
        <w:rPr>
          <w:rFonts w:ascii="黑体" w:hAnsi="黑体" w:eastAsia="黑体" w:cs="黑体"/>
          <w:spacing w:val="-3"/>
          <w:sz w:val="28"/>
          <w:szCs w:val="28"/>
        </w:rPr>
        <w:t xml:space="preserve"> </w:t>
      </w:r>
      <w:r>
        <w:rPr>
          <w:rFonts w:ascii="宋体" w:hAnsi="宋体" w:eastAsia="宋体" w:cs="宋体"/>
          <w:b/>
          <w:bCs/>
          <w:spacing w:val="-3"/>
          <w:sz w:val="28"/>
          <w:szCs w:val="28"/>
        </w:rPr>
        <w:t>发布</w:t>
      </w:r>
      <w:r>
        <w:rPr>
          <w:rFonts w:ascii="宋体" w:hAnsi="宋体" w:eastAsia="宋体" w:cs="宋体"/>
          <w:spacing w:val="-3"/>
          <w:sz w:val="28"/>
          <w:szCs w:val="28"/>
        </w:rPr>
        <w:t xml:space="preserve">      </w:t>
      </w:r>
      <w:r>
        <w:rPr>
          <w:rFonts w:ascii="黑体" w:hAnsi="黑体" w:eastAsia="黑体" w:cs="黑体"/>
          <w:b/>
          <w:bCs/>
          <w:spacing w:val="-3"/>
          <w:sz w:val="28"/>
          <w:szCs w:val="28"/>
        </w:rPr>
        <w:t>20xx</w:t>
      </w:r>
      <w:r>
        <w:rPr>
          <w:rFonts w:ascii="宋体" w:hAnsi="宋体" w:eastAsia="宋体" w:cs="宋体"/>
          <w:b/>
          <w:bCs/>
          <w:spacing w:val="-3"/>
          <w:sz w:val="28"/>
          <w:szCs w:val="28"/>
        </w:rPr>
        <w:t>—</w:t>
      </w:r>
      <w:r>
        <w:rPr>
          <w:rFonts w:ascii="黑体" w:hAnsi="黑体" w:eastAsia="黑体" w:cs="黑体"/>
          <w:b/>
          <w:bCs/>
          <w:spacing w:val="-3"/>
          <w:sz w:val="28"/>
          <w:szCs w:val="28"/>
        </w:rPr>
        <w:t>xx</w:t>
      </w:r>
      <w:r>
        <w:rPr>
          <w:rFonts w:ascii="黑体" w:hAnsi="黑体" w:eastAsia="黑体" w:cs="黑体"/>
          <w:spacing w:val="29"/>
          <w:sz w:val="28"/>
          <w:szCs w:val="28"/>
        </w:rPr>
        <w:t xml:space="preserve"> </w:t>
      </w:r>
      <w:r>
        <w:rPr>
          <w:rFonts w:ascii="宋体" w:hAnsi="宋体" w:eastAsia="宋体" w:cs="宋体"/>
          <w:b/>
          <w:bCs/>
          <w:spacing w:val="-3"/>
          <w:sz w:val="28"/>
          <w:szCs w:val="28"/>
        </w:rPr>
        <w:t>—</w:t>
      </w:r>
      <w:r>
        <w:rPr>
          <w:rFonts w:ascii="黑体" w:hAnsi="黑体" w:eastAsia="黑体" w:cs="黑体"/>
          <w:b/>
          <w:bCs/>
          <w:spacing w:val="-3"/>
          <w:sz w:val="28"/>
          <w:szCs w:val="28"/>
        </w:rPr>
        <w:t>xx</w:t>
      </w:r>
      <w:r>
        <w:rPr>
          <w:rFonts w:ascii="黑体" w:hAnsi="黑体" w:eastAsia="黑体" w:cs="黑体"/>
          <w:spacing w:val="9"/>
          <w:sz w:val="28"/>
          <w:szCs w:val="28"/>
        </w:rPr>
        <w:t xml:space="preserve">  </w:t>
      </w:r>
      <w:r>
        <w:rPr>
          <w:rFonts w:ascii="宋体" w:hAnsi="宋体" w:eastAsia="宋体" w:cs="宋体"/>
          <w:b/>
          <w:bCs/>
          <w:spacing w:val="-3"/>
          <w:sz w:val="28"/>
          <w:szCs w:val="28"/>
        </w:rPr>
        <w:t>实施</w:t>
      </w:r>
    </w:p>
    <w:p w14:paraId="27AF15B3">
      <w:pPr>
        <w:pStyle w:val="7"/>
        <w:spacing w:line="335" w:lineRule="auto"/>
      </w:pPr>
      <w:r>
        <w:drawing>
          <wp:anchor distT="0" distB="0" distL="0" distR="0" simplePos="0" relativeHeight="251660288" behindDoc="0" locked="0" layoutInCell="1" allowOverlap="1">
            <wp:simplePos x="0" y="0"/>
            <wp:positionH relativeFrom="column">
              <wp:posOffset>319405</wp:posOffset>
            </wp:positionH>
            <wp:positionV relativeFrom="paragraph">
              <wp:posOffset>83820</wp:posOffset>
            </wp:positionV>
            <wp:extent cx="4800600" cy="9525"/>
            <wp:effectExtent l="0" t="0" r="0" b="0"/>
            <wp:wrapNone/>
            <wp:docPr id="5" name="IM 4"/>
            <wp:cNvGraphicFramePr/>
            <a:graphic xmlns:a="http://schemas.openxmlformats.org/drawingml/2006/main">
              <a:graphicData uri="http://schemas.openxmlformats.org/drawingml/2006/picture">
                <pic:pic xmlns:pic="http://schemas.openxmlformats.org/drawingml/2006/picture">
                  <pic:nvPicPr>
                    <pic:cNvPr id="5" name="IM 4"/>
                    <pic:cNvPicPr/>
                  </pic:nvPicPr>
                  <pic:blipFill>
                    <a:blip r:embed="rId18"/>
                    <a:stretch>
                      <a:fillRect/>
                    </a:stretch>
                  </pic:blipFill>
                  <pic:spPr>
                    <a:xfrm>
                      <a:off x="0" y="0"/>
                      <a:ext cx="4800600" cy="9525"/>
                    </a:xfrm>
                    <a:prstGeom prst="rect">
                      <a:avLst/>
                    </a:prstGeom>
                  </pic:spPr>
                </pic:pic>
              </a:graphicData>
            </a:graphic>
          </wp:anchor>
        </w:drawing>
      </w:r>
    </w:p>
    <w:p w14:paraId="61379A80">
      <w:pPr>
        <w:spacing w:before="115" w:line="224" w:lineRule="auto"/>
        <w:ind w:left="2332"/>
        <w:rPr>
          <w:rFonts w:ascii="宋体" w:hAnsi="宋体" w:eastAsia="宋体" w:cs="宋体"/>
          <w:sz w:val="35"/>
          <w:szCs w:val="35"/>
        </w:rPr>
      </w:pPr>
      <w:r>
        <w:rPr>
          <w:rFonts w:ascii="宋体" w:hAnsi="宋体" w:eastAsia="宋体" w:cs="宋体"/>
          <w:b/>
          <w:bCs/>
          <w:spacing w:val="3"/>
          <w:sz w:val="35"/>
          <w:szCs w:val="35"/>
        </w:rPr>
        <w:t>中国建筑业协会</w:t>
      </w:r>
      <w:r>
        <w:rPr>
          <w:rFonts w:ascii="宋体" w:hAnsi="宋体" w:eastAsia="宋体" w:cs="宋体"/>
          <w:spacing w:val="3"/>
          <w:sz w:val="35"/>
          <w:szCs w:val="35"/>
        </w:rPr>
        <w:t xml:space="preserve">   </w:t>
      </w:r>
      <w:r>
        <w:rPr>
          <w:rFonts w:ascii="宋体" w:hAnsi="宋体" w:eastAsia="宋体" w:cs="宋体"/>
          <w:b/>
          <w:bCs/>
          <w:spacing w:val="3"/>
          <w:sz w:val="35"/>
          <w:szCs w:val="35"/>
        </w:rPr>
        <w:t>发布</w:t>
      </w:r>
    </w:p>
    <w:p w14:paraId="4429F783">
      <w:pPr>
        <w:spacing w:line="224" w:lineRule="auto"/>
        <w:rPr>
          <w:rFonts w:ascii="宋体" w:hAnsi="宋体" w:eastAsia="宋体" w:cs="宋体"/>
          <w:sz w:val="35"/>
          <w:szCs w:val="35"/>
        </w:rPr>
        <w:sectPr>
          <w:footerReference r:id="rId5" w:type="default"/>
          <w:pgSz w:w="12240" w:h="15840"/>
          <w:pgMar w:top="1346" w:right="1836" w:bottom="0" w:left="1836" w:header="0" w:footer="0" w:gutter="0"/>
          <w:pgNumType w:fmt="decimal"/>
          <w:cols w:space="720" w:num="1"/>
        </w:sectPr>
      </w:pPr>
    </w:p>
    <w:p w14:paraId="27C46A0E">
      <w:pPr>
        <w:pStyle w:val="7"/>
        <w:spacing w:line="254" w:lineRule="auto"/>
      </w:pPr>
    </w:p>
    <w:p w14:paraId="59B7E2C7">
      <w:pPr>
        <w:pStyle w:val="7"/>
        <w:spacing w:line="255" w:lineRule="auto"/>
      </w:pPr>
    </w:p>
    <w:p w14:paraId="5C17E1BB">
      <w:pPr>
        <w:pStyle w:val="7"/>
        <w:spacing w:line="255" w:lineRule="auto"/>
      </w:pPr>
    </w:p>
    <w:p w14:paraId="70881AFB">
      <w:pPr>
        <w:pStyle w:val="7"/>
        <w:spacing w:line="255" w:lineRule="auto"/>
      </w:pPr>
    </w:p>
    <w:p w14:paraId="13A41084">
      <w:pPr>
        <w:pStyle w:val="7"/>
        <w:spacing w:line="255" w:lineRule="auto"/>
      </w:pPr>
    </w:p>
    <w:p w14:paraId="1ED5DCB3">
      <w:pPr>
        <w:spacing w:before="101" w:line="227" w:lineRule="auto"/>
        <w:ind w:left="2562"/>
        <w:rPr>
          <w:rFonts w:ascii="黑体" w:hAnsi="黑体" w:eastAsia="黑体" w:cs="黑体"/>
          <w:sz w:val="31"/>
          <w:szCs w:val="31"/>
        </w:rPr>
      </w:pPr>
      <w:r>
        <w:rPr>
          <w:rFonts w:ascii="黑体" w:hAnsi="黑体" w:eastAsia="黑体" w:cs="黑体"/>
          <w:spacing w:val="6"/>
          <w:sz w:val="31"/>
          <w:szCs w:val="31"/>
        </w:rPr>
        <w:t>中国建筑业协会团体标准</w:t>
      </w:r>
    </w:p>
    <w:p w14:paraId="0416ACAD">
      <w:pPr>
        <w:pStyle w:val="7"/>
        <w:spacing w:line="254" w:lineRule="auto"/>
      </w:pPr>
    </w:p>
    <w:p w14:paraId="1FBA3167">
      <w:pPr>
        <w:pStyle w:val="7"/>
        <w:spacing w:line="254" w:lineRule="auto"/>
      </w:pPr>
    </w:p>
    <w:p w14:paraId="0FB17FE7">
      <w:pPr>
        <w:pStyle w:val="7"/>
        <w:spacing w:line="254" w:lineRule="auto"/>
      </w:pPr>
    </w:p>
    <w:p w14:paraId="33EEFA81">
      <w:pPr>
        <w:spacing w:before="140" w:line="225" w:lineRule="auto"/>
        <w:ind w:left="2100"/>
        <w:rPr>
          <w:rFonts w:ascii="黑体" w:hAnsi="黑体" w:eastAsia="黑体" w:cs="黑体"/>
          <w:sz w:val="43"/>
          <w:szCs w:val="43"/>
        </w:rPr>
      </w:pPr>
      <w:r>
        <w:rPr>
          <w:rFonts w:hint="eastAsia" w:ascii="黑体" w:hAnsi="黑体" w:eastAsia="黑体" w:cs="黑体"/>
          <w:spacing w:val="8"/>
          <w:sz w:val="43"/>
          <w:szCs w:val="43"/>
        </w:rPr>
        <w:t>零碳建筑施工技术标准</w:t>
      </w:r>
    </w:p>
    <w:p w14:paraId="730A8A2B">
      <w:pPr>
        <w:pStyle w:val="7"/>
        <w:spacing w:line="247" w:lineRule="auto"/>
      </w:pPr>
    </w:p>
    <w:p w14:paraId="2CFDF09B">
      <w:pPr>
        <w:spacing w:before="223" w:line="193" w:lineRule="auto"/>
        <w:jc w:val="center"/>
        <w:rPr>
          <w:rFonts w:ascii="Times New Roman" w:hAnsi="Times New Roman" w:eastAsia="Times New Roman" w:cs="Times New Roman"/>
          <w:sz w:val="28"/>
          <w:szCs w:val="28"/>
        </w:rPr>
      </w:pPr>
      <w:r>
        <w:rPr>
          <w:rFonts w:hint="eastAsia" w:ascii="Times New Roman" w:hAnsi="Times New Roman" w:eastAsia="宋体" w:cs="Times New Roman"/>
          <w:sz w:val="28"/>
          <w:szCs w:val="28"/>
          <w:lang w:val="en-US" w:eastAsia="zh-CN"/>
        </w:rPr>
        <w:t>Z</w:t>
      </w:r>
      <w:r>
        <w:rPr>
          <w:rFonts w:hint="eastAsia" w:ascii="Times New Roman" w:hAnsi="Times New Roman" w:eastAsia="Times New Roman" w:cs="Times New Roman"/>
          <w:sz w:val="28"/>
          <w:szCs w:val="28"/>
        </w:rPr>
        <w:t xml:space="preserve">ero </w:t>
      </w:r>
      <w:r>
        <w:rPr>
          <w:rFonts w:hint="eastAsia" w:ascii="Times New Roman" w:hAnsi="Times New Roman" w:eastAsia="宋体" w:cs="Times New Roman"/>
          <w:sz w:val="28"/>
          <w:szCs w:val="28"/>
          <w:lang w:val="en-US" w:eastAsia="zh-CN"/>
        </w:rPr>
        <w:t>c</w:t>
      </w:r>
      <w:r>
        <w:rPr>
          <w:rFonts w:hint="eastAsia" w:ascii="Times New Roman" w:hAnsi="Times New Roman" w:eastAsia="Times New Roman" w:cs="Times New Roman"/>
          <w:sz w:val="28"/>
          <w:szCs w:val="28"/>
        </w:rPr>
        <w:t>arbon</w:t>
      </w:r>
      <w:r>
        <w:rPr>
          <w:rFonts w:hint="eastAsia" w:ascii="Times New Roman" w:hAnsi="Times New Roman" w:eastAsia="宋体" w:cs="Times New Roman"/>
          <w:sz w:val="28"/>
          <w:szCs w:val="28"/>
          <w:lang w:val="en-US" w:eastAsia="zh-CN"/>
        </w:rPr>
        <w:t xml:space="preserve"> c</w:t>
      </w:r>
      <w:r>
        <w:rPr>
          <w:rFonts w:ascii="Times New Roman" w:hAnsi="Times New Roman" w:eastAsia="Times New Roman" w:cs="Times New Roman"/>
          <w:sz w:val="28"/>
          <w:szCs w:val="28"/>
        </w:rPr>
        <w:t xml:space="preserve">onstruction </w:t>
      </w:r>
      <w:r>
        <w:rPr>
          <w:rFonts w:hint="eastAsia" w:ascii="Times New Roman" w:hAnsi="Times New Roman" w:eastAsia="宋体" w:cs="Times New Roman"/>
          <w:sz w:val="28"/>
          <w:szCs w:val="28"/>
          <w:lang w:val="en-US" w:eastAsia="zh-CN"/>
        </w:rPr>
        <w:t>t</w:t>
      </w:r>
      <w:r>
        <w:rPr>
          <w:rFonts w:hint="eastAsia" w:ascii="Times New Roman" w:hAnsi="Times New Roman" w:eastAsia="Times New Roman" w:cs="Times New Roman"/>
          <w:sz w:val="28"/>
          <w:szCs w:val="28"/>
        </w:rPr>
        <w:t>echnical standard</w:t>
      </w:r>
      <w:r>
        <w:rPr>
          <w:rFonts w:ascii="Times New Roman" w:hAnsi="Times New Roman" w:eastAsia="Times New Roman" w:cs="Times New Roman"/>
          <w:spacing w:val="-1"/>
          <w:sz w:val="28"/>
          <w:szCs w:val="28"/>
        </w:rPr>
        <w:t xml:space="preserve"> for</w:t>
      </w:r>
      <w:r>
        <w:rPr>
          <w:rFonts w:ascii="Times New Roman" w:hAnsi="Times New Roman" w:eastAsia="Times New Roman" w:cs="Times New Roman"/>
          <w:sz w:val="28"/>
          <w:szCs w:val="28"/>
        </w:rPr>
        <w:t xml:space="preserve"> </w:t>
      </w:r>
      <w:r>
        <w:rPr>
          <w:rFonts w:hint="eastAsia" w:ascii="Times New Roman" w:hAnsi="Times New Roman" w:eastAsia="宋体" w:cs="Times New Roman"/>
          <w:spacing w:val="-1"/>
          <w:sz w:val="28"/>
          <w:szCs w:val="28"/>
          <w:lang w:val="en-US" w:eastAsia="zh-CN"/>
        </w:rPr>
        <w:t>buildings</w:t>
      </w:r>
    </w:p>
    <w:p w14:paraId="7B5984F1">
      <w:pPr>
        <w:pStyle w:val="7"/>
        <w:spacing w:line="257" w:lineRule="auto"/>
      </w:pPr>
    </w:p>
    <w:p w14:paraId="5C8FEC15">
      <w:pPr>
        <w:pStyle w:val="7"/>
        <w:spacing w:line="257" w:lineRule="auto"/>
      </w:pPr>
    </w:p>
    <w:p w14:paraId="41B43573">
      <w:pPr>
        <w:pStyle w:val="7"/>
        <w:spacing w:line="257" w:lineRule="auto"/>
      </w:pPr>
    </w:p>
    <w:p w14:paraId="58B99D30">
      <w:pPr>
        <w:pStyle w:val="7"/>
        <w:spacing w:line="257" w:lineRule="auto"/>
      </w:pPr>
    </w:p>
    <w:p w14:paraId="4DCF6B02">
      <w:pPr>
        <w:pStyle w:val="7"/>
        <w:spacing w:line="257" w:lineRule="auto"/>
      </w:pPr>
    </w:p>
    <w:p w14:paraId="302FD4B6">
      <w:pPr>
        <w:pStyle w:val="7"/>
        <w:spacing w:line="257" w:lineRule="auto"/>
      </w:pPr>
    </w:p>
    <w:p w14:paraId="053EE576">
      <w:pPr>
        <w:pStyle w:val="7"/>
        <w:spacing w:line="257" w:lineRule="auto"/>
      </w:pPr>
    </w:p>
    <w:p w14:paraId="6936F194">
      <w:pPr>
        <w:spacing w:before="91" w:line="184" w:lineRule="auto"/>
        <w:ind w:left="2960"/>
        <w:rPr>
          <w:rFonts w:ascii="Times New Roman" w:hAnsi="Times New Roman" w:eastAsia="Times New Roman" w:cs="Times New Roman"/>
          <w:sz w:val="28"/>
          <w:szCs w:val="28"/>
        </w:rPr>
      </w:pPr>
      <w:r>
        <w:rPr>
          <w:rFonts w:ascii="Times New Roman" w:hAnsi="Times New Roman" w:eastAsia="Times New Roman" w:cs="Times New Roman"/>
          <w:spacing w:val="-3"/>
          <w:sz w:val="28"/>
          <w:szCs w:val="28"/>
        </w:rPr>
        <w:t>T/CCIAT xxxx</w:t>
      </w:r>
      <w:r>
        <w:rPr>
          <w:rFonts w:ascii="宋体" w:hAnsi="宋体" w:eastAsia="宋体" w:cs="宋体"/>
          <w:spacing w:val="-3"/>
          <w:sz w:val="28"/>
          <w:szCs w:val="28"/>
        </w:rPr>
        <w:t xml:space="preserve">— </w:t>
      </w:r>
      <w:r>
        <w:rPr>
          <w:rFonts w:ascii="Times New Roman" w:hAnsi="Times New Roman" w:eastAsia="Times New Roman" w:cs="Times New Roman"/>
          <w:spacing w:val="-3"/>
          <w:sz w:val="28"/>
          <w:szCs w:val="28"/>
        </w:rPr>
        <w:t>20xx</w:t>
      </w:r>
    </w:p>
    <w:p w14:paraId="31179FF5">
      <w:pPr>
        <w:pStyle w:val="7"/>
        <w:spacing w:line="258" w:lineRule="auto"/>
      </w:pPr>
    </w:p>
    <w:p w14:paraId="07141202">
      <w:pPr>
        <w:pStyle w:val="7"/>
        <w:spacing w:line="258" w:lineRule="auto"/>
      </w:pPr>
    </w:p>
    <w:p w14:paraId="618F5AD0">
      <w:pPr>
        <w:pStyle w:val="7"/>
        <w:spacing w:line="258" w:lineRule="auto"/>
      </w:pPr>
    </w:p>
    <w:p w14:paraId="148A7C07">
      <w:pPr>
        <w:spacing w:before="91" w:line="223" w:lineRule="auto"/>
        <w:ind w:left="2630"/>
        <w:rPr>
          <w:rFonts w:ascii="仿宋" w:hAnsi="仿宋" w:eastAsia="仿宋" w:cs="仿宋"/>
          <w:sz w:val="28"/>
          <w:szCs w:val="28"/>
        </w:rPr>
      </w:pPr>
      <w:r>
        <w:rPr>
          <w:rFonts w:ascii="仿宋" w:hAnsi="仿宋" w:eastAsia="仿宋" w:cs="仿宋"/>
          <w:spacing w:val="-3"/>
          <w:sz w:val="28"/>
          <w:szCs w:val="28"/>
        </w:rPr>
        <w:t>主编团体：中国建筑业协会</w:t>
      </w:r>
    </w:p>
    <w:p w14:paraId="612F9A32">
      <w:pPr>
        <w:pStyle w:val="7"/>
        <w:spacing w:line="293" w:lineRule="auto"/>
      </w:pPr>
    </w:p>
    <w:p w14:paraId="05611D3D">
      <w:pPr>
        <w:spacing w:before="91" w:line="222" w:lineRule="auto"/>
        <w:ind w:left="2446"/>
        <w:rPr>
          <w:rFonts w:ascii="仿宋" w:hAnsi="仿宋" w:eastAsia="仿宋" w:cs="仿宋"/>
          <w:sz w:val="28"/>
          <w:szCs w:val="28"/>
        </w:rPr>
      </w:pPr>
      <w:r>
        <w:rPr>
          <w:rFonts w:ascii="仿宋" w:hAnsi="仿宋" w:eastAsia="仿宋" w:cs="仿宋"/>
          <w:spacing w:val="-4"/>
          <w:sz w:val="28"/>
          <w:szCs w:val="28"/>
        </w:rPr>
        <w:t>施行日期：</w:t>
      </w:r>
      <w:r>
        <w:rPr>
          <w:rFonts w:ascii="Times New Roman" w:hAnsi="Times New Roman" w:eastAsia="Times New Roman" w:cs="Times New Roman"/>
          <w:spacing w:val="-4"/>
          <w:sz w:val="28"/>
          <w:szCs w:val="28"/>
        </w:rPr>
        <w:t>20xx</w:t>
      </w:r>
      <w:r>
        <w:rPr>
          <w:rFonts w:ascii="Times New Roman" w:hAnsi="Times New Roman" w:eastAsia="Times New Roman" w:cs="Times New Roman"/>
          <w:spacing w:val="26"/>
          <w:w w:val="101"/>
          <w:sz w:val="28"/>
          <w:szCs w:val="28"/>
        </w:rPr>
        <w:t xml:space="preserve"> </w:t>
      </w:r>
      <w:r>
        <w:rPr>
          <w:rFonts w:ascii="仿宋" w:hAnsi="仿宋" w:eastAsia="仿宋" w:cs="仿宋"/>
          <w:spacing w:val="-4"/>
          <w:sz w:val="28"/>
          <w:szCs w:val="28"/>
        </w:rPr>
        <w:t>年</w:t>
      </w:r>
      <w:r>
        <w:rPr>
          <w:rFonts w:ascii="仿宋" w:hAnsi="仿宋" w:eastAsia="仿宋" w:cs="仿宋"/>
          <w:spacing w:val="-67"/>
          <w:sz w:val="28"/>
          <w:szCs w:val="28"/>
        </w:rPr>
        <w:t xml:space="preserve"> </w:t>
      </w:r>
      <w:r>
        <w:rPr>
          <w:rFonts w:ascii="Times New Roman" w:hAnsi="Times New Roman" w:eastAsia="Times New Roman" w:cs="Times New Roman"/>
          <w:spacing w:val="-4"/>
          <w:sz w:val="28"/>
          <w:szCs w:val="28"/>
        </w:rPr>
        <w:t>xx</w:t>
      </w:r>
      <w:r>
        <w:rPr>
          <w:rFonts w:ascii="Times New Roman" w:hAnsi="Times New Roman" w:eastAsia="Times New Roman" w:cs="Times New Roman"/>
          <w:spacing w:val="30"/>
          <w:sz w:val="28"/>
          <w:szCs w:val="28"/>
        </w:rPr>
        <w:t xml:space="preserve"> </w:t>
      </w:r>
      <w:r>
        <w:rPr>
          <w:rFonts w:ascii="仿宋" w:hAnsi="仿宋" w:eastAsia="仿宋" w:cs="仿宋"/>
          <w:spacing w:val="-4"/>
          <w:sz w:val="28"/>
          <w:szCs w:val="28"/>
        </w:rPr>
        <w:t>月</w:t>
      </w:r>
      <w:r>
        <w:rPr>
          <w:rFonts w:ascii="仿宋" w:hAnsi="仿宋" w:eastAsia="仿宋" w:cs="仿宋"/>
          <w:spacing w:val="-69"/>
          <w:sz w:val="28"/>
          <w:szCs w:val="28"/>
        </w:rPr>
        <w:t xml:space="preserve"> </w:t>
      </w:r>
      <w:r>
        <w:rPr>
          <w:rFonts w:ascii="Times New Roman" w:hAnsi="Times New Roman" w:eastAsia="Times New Roman" w:cs="Times New Roman"/>
          <w:spacing w:val="-4"/>
          <w:sz w:val="28"/>
          <w:szCs w:val="28"/>
        </w:rPr>
        <w:t xml:space="preserve">xx  </w:t>
      </w:r>
      <w:r>
        <w:rPr>
          <w:rFonts w:ascii="仿宋" w:hAnsi="仿宋" w:eastAsia="仿宋" w:cs="仿宋"/>
          <w:spacing w:val="-4"/>
          <w:sz w:val="28"/>
          <w:szCs w:val="28"/>
        </w:rPr>
        <w:t>日</w:t>
      </w:r>
    </w:p>
    <w:p w14:paraId="15749503">
      <w:pPr>
        <w:pStyle w:val="7"/>
        <w:spacing w:line="251" w:lineRule="auto"/>
      </w:pPr>
    </w:p>
    <w:p w14:paraId="3F0725A8">
      <w:pPr>
        <w:pStyle w:val="7"/>
        <w:spacing w:line="251" w:lineRule="auto"/>
      </w:pPr>
    </w:p>
    <w:p w14:paraId="1437ED23">
      <w:pPr>
        <w:pStyle w:val="7"/>
        <w:spacing w:line="251" w:lineRule="auto"/>
      </w:pPr>
    </w:p>
    <w:p w14:paraId="31AD1579">
      <w:pPr>
        <w:pStyle w:val="7"/>
        <w:spacing w:line="251" w:lineRule="auto"/>
      </w:pPr>
    </w:p>
    <w:p w14:paraId="38A1427D">
      <w:pPr>
        <w:pStyle w:val="7"/>
        <w:spacing w:line="251" w:lineRule="auto"/>
      </w:pPr>
    </w:p>
    <w:p w14:paraId="50085879">
      <w:pPr>
        <w:pStyle w:val="7"/>
        <w:spacing w:line="251" w:lineRule="auto"/>
      </w:pPr>
    </w:p>
    <w:p w14:paraId="486C5C18">
      <w:pPr>
        <w:pStyle w:val="7"/>
        <w:spacing w:line="251" w:lineRule="auto"/>
      </w:pPr>
    </w:p>
    <w:p w14:paraId="247FB95D">
      <w:pPr>
        <w:pStyle w:val="7"/>
        <w:spacing w:line="251" w:lineRule="auto"/>
      </w:pPr>
    </w:p>
    <w:p w14:paraId="3EDFA3FC">
      <w:pPr>
        <w:pStyle w:val="7"/>
        <w:spacing w:line="252" w:lineRule="auto"/>
      </w:pPr>
    </w:p>
    <w:p w14:paraId="48EC012B">
      <w:pPr>
        <w:pStyle w:val="7"/>
        <w:spacing w:line="252" w:lineRule="auto"/>
      </w:pPr>
    </w:p>
    <w:p w14:paraId="0CC651C9">
      <w:pPr>
        <w:pStyle w:val="7"/>
        <w:spacing w:line="252" w:lineRule="auto"/>
      </w:pPr>
    </w:p>
    <w:p w14:paraId="62033501">
      <w:pPr>
        <w:spacing w:before="97" w:line="222" w:lineRule="auto"/>
        <w:ind w:left="2991"/>
        <w:rPr>
          <w:rFonts w:ascii="仿宋" w:hAnsi="仿宋" w:eastAsia="仿宋" w:cs="仿宋"/>
          <w:sz w:val="30"/>
          <w:szCs w:val="30"/>
        </w:rPr>
      </w:pPr>
      <w:r>
        <w:rPr>
          <w:rFonts w:ascii="仿宋" w:hAnsi="仿宋" w:eastAsia="仿宋" w:cs="仿宋"/>
          <w:spacing w:val="-7"/>
          <w:sz w:val="30"/>
          <w:szCs w:val="30"/>
        </w:rPr>
        <w:t>中国建筑工业出版社</w:t>
      </w:r>
    </w:p>
    <w:p w14:paraId="73D335B7">
      <w:pPr>
        <w:spacing w:before="223" w:line="222" w:lineRule="auto"/>
        <w:ind w:left="3539"/>
        <w:rPr>
          <w:rFonts w:ascii="仿宋" w:hAnsi="仿宋" w:eastAsia="仿宋" w:cs="仿宋"/>
          <w:sz w:val="30"/>
          <w:szCs w:val="30"/>
        </w:rPr>
      </w:pPr>
      <w:r>
        <w:rPr>
          <w:rFonts w:ascii="Times New Roman" w:hAnsi="Times New Roman" w:eastAsia="Times New Roman" w:cs="Times New Roman"/>
          <w:spacing w:val="-6"/>
          <w:sz w:val="30"/>
          <w:szCs w:val="30"/>
        </w:rPr>
        <w:t>20xx</w:t>
      </w:r>
      <w:r>
        <w:rPr>
          <w:rFonts w:ascii="Times New Roman" w:hAnsi="Times New Roman" w:eastAsia="Times New Roman" w:cs="Times New Roman"/>
          <w:spacing w:val="7"/>
          <w:sz w:val="30"/>
          <w:szCs w:val="30"/>
        </w:rPr>
        <w:t xml:space="preserve">    </w:t>
      </w:r>
      <w:r>
        <w:rPr>
          <w:rFonts w:ascii="仿宋" w:hAnsi="仿宋" w:eastAsia="仿宋" w:cs="仿宋"/>
          <w:spacing w:val="-6"/>
          <w:sz w:val="30"/>
          <w:szCs w:val="30"/>
        </w:rPr>
        <w:t>北京</w:t>
      </w:r>
    </w:p>
    <w:p w14:paraId="53150181">
      <w:pPr>
        <w:spacing w:line="222" w:lineRule="auto"/>
        <w:rPr>
          <w:rFonts w:ascii="仿宋" w:hAnsi="仿宋" w:eastAsia="仿宋" w:cs="仿宋"/>
          <w:sz w:val="30"/>
          <w:szCs w:val="30"/>
        </w:rPr>
        <w:sectPr>
          <w:pgSz w:w="12240" w:h="15840"/>
          <w:pgMar w:top="1346" w:right="1836" w:bottom="0" w:left="1836" w:header="0" w:footer="0" w:gutter="0"/>
          <w:pgNumType w:fmt="decimal"/>
          <w:cols w:space="720" w:num="1"/>
        </w:sectPr>
      </w:pPr>
    </w:p>
    <w:p w14:paraId="75902270">
      <w:pPr>
        <w:spacing w:before="234" w:line="228" w:lineRule="auto"/>
        <w:ind w:left="3535"/>
        <w:outlineLvl w:val="0"/>
        <w:rPr>
          <w:rFonts w:ascii="黑体" w:hAnsi="黑体" w:eastAsia="黑体" w:cs="黑体"/>
          <w:sz w:val="31"/>
          <w:szCs w:val="31"/>
        </w:rPr>
      </w:pPr>
      <w:bookmarkStart w:id="1" w:name="_Toc10787"/>
      <w:r>
        <w:rPr>
          <w:rFonts w:ascii="黑体" w:hAnsi="黑体" w:eastAsia="黑体" w:cs="黑体"/>
          <w:b/>
          <w:bCs/>
          <w:spacing w:val="-5"/>
          <w:sz w:val="31"/>
          <w:szCs w:val="31"/>
        </w:rPr>
        <w:t>前</w:t>
      </w:r>
      <w:r>
        <w:rPr>
          <w:rFonts w:ascii="黑体" w:hAnsi="黑体" w:eastAsia="黑体" w:cs="黑体"/>
          <w:spacing w:val="12"/>
          <w:sz w:val="31"/>
          <w:szCs w:val="31"/>
        </w:rPr>
        <w:t xml:space="preserve">    </w:t>
      </w:r>
      <w:r>
        <w:rPr>
          <w:rFonts w:ascii="黑体" w:hAnsi="黑体" w:eastAsia="黑体" w:cs="黑体"/>
          <w:b/>
          <w:bCs/>
          <w:spacing w:val="-5"/>
          <w:sz w:val="31"/>
          <w:szCs w:val="31"/>
        </w:rPr>
        <w:t>言</w:t>
      </w:r>
      <w:bookmarkEnd w:id="1"/>
    </w:p>
    <w:p w14:paraId="7195B063">
      <w:pPr>
        <w:pStyle w:val="7"/>
        <w:spacing w:line="354" w:lineRule="auto"/>
      </w:pPr>
    </w:p>
    <w:p w14:paraId="08D66BAF">
      <w:pPr>
        <w:spacing w:before="78" w:line="359" w:lineRule="auto"/>
        <w:ind w:left="22" w:firstLine="480"/>
        <w:jc w:val="both"/>
        <w:rPr>
          <w:rFonts w:ascii="宋体" w:hAnsi="宋体" w:eastAsia="宋体" w:cs="宋体"/>
          <w:sz w:val="24"/>
          <w:szCs w:val="24"/>
        </w:rPr>
      </w:pPr>
      <w:r>
        <w:rPr>
          <w:rFonts w:ascii="宋体" w:hAnsi="宋体" w:eastAsia="宋体" w:cs="宋体"/>
          <w:spacing w:val="-3"/>
          <w:sz w:val="24"/>
          <w:szCs w:val="24"/>
        </w:rPr>
        <w:t>根据中国建筑业协会《关于印发第</w:t>
      </w:r>
      <w:r>
        <w:rPr>
          <w:rFonts w:hint="eastAsia" w:ascii="宋体" w:hAnsi="宋体" w:eastAsia="宋体" w:cs="宋体"/>
          <w:spacing w:val="-3"/>
          <w:sz w:val="24"/>
          <w:szCs w:val="24"/>
          <w:lang w:val="en-US" w:eastAsia="zh-CN"/>
        </w:rPr>
        <w:t>九</w:t>
      </w:r>
      <w:r>
        <w:rPr>
          <w:rFonts w:ascii="宋体" w:hAnsi="宋体" w:eastAsia="宋体" w:cs="宋体"/>
          <w:spacing w:val="-3"/>
          <w:sz w:val="24"/>
          <w:szCs w:val="24"/>
        </w:rPr>
        <w:t>批中国建筑业协会团体标准</w:t>
      </w:r>
      <w:r>
        <w:rPr>
          <w:rFonts w:ascii="宋体" w:hAnsi="宋体" w:eastAsia="宋体" w:cs="宋体"/>
          <w:spacing w:val="-4"/>
          <w:sz w:val="24"/>
          <w:szCs w:val="24"/>
        </w:rPr>
        <w:t>编制工作计</w:t>
      </w:r>
      <w:r>
        <w:rPr>
          <w:rFonts w:ascii="宋体" w:hAnsi="宋体" w:eastAsia="宋体" w:cs="宋体"/>
          <w:spacing w:val="-2"/>
          <w:sz w:val="24"/>
          <w:szCs w:val="24"/>
        </w:rPr>
        <w:t>划的通知》（建协函〔</w:t>
      </w:r>
      <w:r>
        <w:rPr>
          <w:rFonts w:ascii="Times New Roman" w:hAnsi="Times New Roman" w:eastAsia="Times New Roman" w:cs="Times New Roman"/>
          <w:spacing w:val="-2"/>
          <w:sz w:val="24"/>
          <w:szCs w:val="24"/>
        </w:rPr>
        <w:t>202</w:t>
      </w:r>
      <w:r>
        <w:rPr>
          <w:rFonts w:hint="eastAsia" w:ascii="Times New Roman" w:hAnsi="Times New Roman" w:eastAsia="宋体" w:cs="Times New Roman"/>
          <w:spacing w:val="-2"/>
          <w:sz w:val="24"/>
          <w:szCs w:val="24"/>
          <w:lang w:val="en-US" w:eastAsia="zh-CN"/>
        </w:rPr>
        <w:t>4</w:t>
      </w:r>
      <w:r>
        <w:rPr>
          <w:rFonts w:ascii="宋体" w:hAnsi="宋体" w:eastAsia="宋体" w:cs="宋体"/>
          <w:spacing w:val="-2"/>
          <w:sz w:val="24"/>
          <w:szCs w:val="24"/>
        </w:rPr>
        <w:t>〕</w:t>
      </w:r>
      <w:r>
        <w:rPr>
          <w:rFonts w:hint="eastAsia" w:ascii="Times New Roman" w:hAnsi="Times New Roman" w:eastAsia="宋体" w:cs="Times New Roman"/>
          <w:spacing w:val="-2"/>
          <w:sz w:val="24"/>
          <w:szCs w:val="24"/>
          <w:lang w:val="en-US" w:eastAsia="zh-CN"/>
        </w:rPr>
        <w:t>54</w:t>
      </w:r>
      <w:r>
        <w:rPr>
          <w:rFonts w:ascii="Times New Roman" w:hAnsi="Times New Roman" w:eastAsia="Times New Roman" w:cs="Times New Roman"/>
          <w:spacing w:val="30"/>
          <w:w w:val="101"/>
          <w:sz w:val="24"/>
          <w:szCs w:val="24"/>
        </w:rPr>
        <w:t xml:space="preserve"> </w:t>
      </w:r>
      <w:r>
        <w:rPr>
          <w:rFonts w:ascii="宋体" w:hAnsi="宋体" w:eastAsia="宋体" w:cs="宋体"/>
          <w:spacing w:val="-2"/>
          <w:sz w:val="24"/>
          <w:szCs w:val="24"/>
        </w:rPr>
        <w:t>号）的要求，标准编制组经广泛调查研究，认真</w:t>
      </w:r>
      <w:r>
        <w:rPr>
          <w:rFonts w:ascii="宋体" w:hAnsi="宋体" w:eastAsia="宋体" w:cs="宋体"/>
          <w:spacing w:val="-8"/>
          <w:sz w:val="24"/>
          <w:szCs w:val="24"/>
        </w:rPr>
        <w:t>总结实践经验，</w:t>
      </w:r>
      <w:r>
        <w:rPr>
          <w:rFonts w:ascii="宋体" w:hAnsi="宋体" w:eastAsia="宋体" w:cs="宋体"/>
          <w:spacing w:val="-2"/>
          <w:sz w:val="24"/>
          <w:szCs w:val="24"/>
        </w:rPr>
        <w:t>参考有关国内外标准，</w:t>
      </w:r>
      <w:r>
        <w:rPr>
          <w:rFonts w:ascii="宋体" w:hAnsi="宋体" w:eastAsia="宋体" w:cs="宋体"/>
          <w:spacing w:val="-8"/>
          <w:sz w:val="24"/>
          <w:szCs w:val="24"/>
        </w:rPr>
        <w:t>并在广泛征求意见的基础上，</w:t>
      </w:r>
      <w:r>
        <w:rPr>
          <w:rFonts w:ascii="宋体" w:hAnsi="宋体" w:eastAsia="宋体" w:cs="宋体"/>
          <w:spacing w:val="-2"/>
          <w:sz w:val="24"/>
          <w:szCs w:val="24"/>
        </w:rPr>
        <w:t>制定本</w:t>
      </w:r>
      <w:r>
        <w:rPr>
          <w:rFonts w:hint="eastAsia" w:ascii="宋体" w:hAnsi="宋体" w:eastAsia="宋体" w:cs="宋体"/>
          <w:spacing w:val="-2"/>
          <w:sz w:val="24"/>
          <w:szCs w:val="24"/>
          <w:lang w:val="en-US" w:eastAsia="zh-CN"/>
        </w:rPr>
        <w:t>标准</w:t>
      </w:r>
      <w:r>
        <w:rPr>
          <w:rFonts w:ascii="宋体" w:hAnsi="宋体" w:eastAsia="宋体" w:cs="宋体"/>
          <w:spacing w:val="-2"/>
          <w:sz w:val="24"/>
          <w:szCs w:val="24"/>
        </w:rPr>
        <w:t>。</w:t>
      </w:r>
    </w:p>
    <w:p w14:paraId="75AD9597">
      <w:pPr>
        <w:spacing w:line="359" w:lineRule="auto"/>
        <w:ind w:left="23" w:right="61" w:firstLine="480"/>
        <w:rPr>
          <w:rFonts w:ascii="宋体" w:hAnsi="宋体" w:eastAsia="宋体" w:cs="宋体"/>
          <w:sz w:val="24"/>
          <w:szCs w:val="24"/>
        </w:rPr>
      </w:pPr>
      <w:r>
        <w:rPr>
          <w:rFonts w:ascii="宋体" w:hAnsi="宋体" w:eastAsia="宋体" w:cs="宋体"/>
          <w:spacing w:val="-2"/>
          <w:sz w:val="24"/>
          <w:szCs w:val="24"/>
        </w:rPr>
        <w:t>本</w:t>
      </w:r>
      <w:r>
        <w:rPr>
          <w:rFonts w:hint="eastAsia" w:ascii="宋体" w:hAnsi="宋体" w:eastAsia="宋体" w:cs="宋体"/>
          <w:spacing w:val="-2"/>
          <w:sz w:val="24"/>
          <w:szCs w:val="24"/>
          <w:lang w:val="en-US" w:eastAsia="zh-CN"/>
        </w:rPr>
        <w:t>标准</w:t>
      </w:r>
      <w:r>
        <w:rPr>
          <w:rFonts w:ascii="宋体" w:hAnsi="宋体" w:eastAsia="宋体" w:cs="宋体"/>
          <w:spacing w:val="-2"/>
          <w:sz w:val="24"/>
          <w:szCs w:val="24"/>
        </w:rPr>
        <w:t>共分</w:t>
      </w:r>
      <w:r>
        <w:rPr>
          <w:rFonts w:ascii="宋体" w:hAnsi="宋体" w:eastAsia="宋体" w:cs="宋体"/>
          <w:spacing w:val="-47"/>
          <w:sz w:val="24"/>
          <w:szCs w:val="24"/>
        </w:rPr>
        <w:t xml:space="preserve"> </w:t>
      </w:r>
      <w:r>
        <w:rPr>
          <w:rFonts w:hint="eastAsia" w:ascii="Times New Roman" w:hAnsi="Times New Roman" w:eastAsia="宋体" w:cs="Times New Roman"/>
          <w:spacing w:val="-2"/>
          <w:sz w:val="24"/>
          <w:szCs w:val="24"/>
          <w:lang w:val="en-US" w:eastAsia="zh-CN"/>
        </w:rPr>
        <w:t>7</w:t>
      </w:r>
      <w:r>
        <w:rPr>
          <w:rFonts w:ascii="Times New Roman" w:hAnsi="Times New Roman" w:eastAsia="Times New Roman" w:cs="Times New Roman"/>
          <w:spacing w:val="18"/>
          <w:sz w:val="24"/>
          <w:szCs w:val="24"/>
        </w:rPr>
        <w:t xml:space="preserve"> </w:t>
      </w:r>
      <w:r>
        <w:rPr>
          <w:rFonts w:ascii="宋体" w:hAnsi="宋体" w:eastAsia="宋体" w:cs="宋体"/>
          <w:spacing w:val="-2"/>
          <w:sz w:val="24"/>
          <w:szCs w:val="24"/>
        </w:rPr>
        <w:t>章，主要技术内容包括：1.总则</w:t>
      </w:r>
      <w:r>
        <w:rPr>
          <w:rFonts w:hint="eastAsia" w:ascii="宋体" w:hAnsi="宋体" w:eastAsia="宋体" w:cs="宋体"/>
          <w:spacing w:val="-1"/>
          <w:sz w:val="24"/>
          <w:szCs w:val="24"/>
          <w:lang w:eastAsia="zh-CN"/>
        </w:rPr>
        <w:t>；</w:t>
      </w:r>
      <w:r>
        <w:rPr>
          <w:rFonts w:ascii="宋体" w:hAnsi="宋体" w:eastAsia="宋体" w:cs="宋体"/>
          <w:spacing w:val="-2"/>
          <w:sz w:val="24"/>
          <w:szCs w:val="24"/>
        </w:rPr>
        <w:t>2.术语与符号</w:t>
      </w:r>
      <w:r>
        <w:rPr>
          <w:rFonts w:hint="eastAsia" w:ascii="宋体" w:hAnsi="宋体" w:eastAsia="宋体" w:cs="宋体"/>
          <w:spacing w:val="-1"/>
          <w:sz w:val="24"/>
          <w:szCs w:val="24"/>
          <w:lang w:eastAsia="zh-CN"/>
        </w:rPr>
        <w:t>；</w:t>
      </w:r>
      <w:r>
        <w:rPr>
          <w:rFonts w:ascii="宋体" w:hAnsi="宋体" w:eastAsia="宋体" w:cs="宋体"/>
          <w:spacing w:val="-2"/>
          <w:sz w:val="24"/>
          <w:szCs w:val="24"/>
        </w:rPr>
        <w:t>3.</w:t>
      </w:r>
      <w:r>
        <w:rPr>
          <w:rFonts w:hint="eastAsia" w:ascii="宋体" w:hAnsi="宋体" w:eastAsia="宋体" w:cs="宋体"/>
          <w:sz w:val="24"/>
          <w:szCs w:val="24"/>
          <w:lang w:val="en-US" w:eastAsia="zh-CN"/>
        </w:rPr>
        <w:t>基本规定</w:t>
      </w:r>
      <w:r>
        <w:rPr>
          <w:rFonts w:hint="eastAsia" w:ascii="宋体" w:hAnsi="宋体" w:eastAsia="宋体" w:cs="宋体"/>
          <w:spacing w:val="-1"/>
          <w:sz w:val="24"/>
          <w:szCs w:val="24"/>
          <w:lang w:eastAsia="zh-CN"/>
        </w:rPr>
        <w:t>；</w:t>
      </w:r>
      <w:r>
        <w:rPr>
          <w:rFonts w:ascii="宋体" w:hAnsi="宋体" w:eastAsia="宋体" w:cs="宋体"/>
          <w:sz w:val="24"/>
          <w:szCs w:val="24"/>
        </w:rPr>
        <w:t>4.</w:t>
      </w:r>
      <w:r>
        <w:rPr>
          <w:rFonts w:hint="eastAsia" w:ascii="宋体" w:hAnsi="宋体" w:eastAsia="宋体" w:cs="宋体"/>
          <w:sz w:val="24"/>
          <w:szCs w:val="24"/>
        </w:rPr>
        <w:t>施工管理；5.施工技术</w:t>
      </w:r>
      <w:r>
        <w:rPr>
          <w:rFonts w:hint="eastAsia" w:ascii="宋体" w:hAnsi="宋体" w:eastAsia="宋体" w:cs="宋体"/>
          <w:spacing w:val="-1"/>
          <w:sz w:val="24"/>
          <w:szCs w:val="24"/>
          <w:lang w:eastAsia="zh-CN"/>
        </w:rPr>
        <w:t>；6</w:t>
      </w:r>
      <w:r>
        <w:rPr>
          <w:rFonts w:ascii="宋体" w:hAnsi="宋体" w:eastAsia="宋体" w:cs="宋体"/>
          <w:spacing w:val="-1"/>
          <w:sz w:val="24"/>
          <w:szCs w:val="24"/>
        </w:rPr>
        <w:t>.</w:t>
      </w:r>
      <w:r>
        <w:rPr>
          <w:rFonts w:hint="eastAsia" w:ascii="宋体" w:hAnsi="宋体" w:eastAsia="宋体" w:cs="宋体"/>
          <w:spacing w:val="-1"/>
          <w:sz w:val="24"/>
          <w:szCs w:val="24"/>
        </w:rPr>
        <w:t>供应链管理</w:t>
      </w:r>
      <w:r>
        <w:rPr>
          <w:rFonts w:hint="eastAsia" w:ascii="宋体" w:hAnsi="宋体" w:eastAsia="宋体" w:cs="宋体"/>
          <w:spacing w:val="-1"/>
          <w:sz w:val="24"/>
          <w:szCs w:val="24"/>
          <w:lang w:eastAsia="zh-CN"/>
        </w:rPr>
        <w:t>；</w:t>
      </w:r>
      <w:r>
        <w:rPr>
          <w:rFonts w:hint="eastAsia" w:ascii="宋体" w:hAnsi="宋体" w:eastAsia="宋体" w:cs="宋体"/>
          <w:sz w:val="24"/>
          <w:szCs w:val="24"/>
          <w:lang w:val="en-US" w:eastAsia="zh-CN"/>
        </w:rPr>
        <w:t>7</w:t>
      </w:r>
      <w:r>
        <w:rPr>
          <w:rFonts w:ascii="宋体" w:hAnsi="宋体" w:eastAsia="宋体" w:cs="宋体"/>
          <w:spacing w:val="-1"/>
          <w:sz w:val="24"/>
          <w:szCs w:val="24"/>
        </w:rPr>
        <w:t>.</w:t>
      </w:r>
      <w:r>
        <w:rPr>
          <w:rFonts w:hint="eastAsia" w:ascii="宋体" w:hAnsi="宋体" w:eastAsia="宋体" w:cs="宋体"/>
          <w:spacing w:val="-1"/>
          <w:sz w:val="24"/>
          <w:szCs w:val="24"/>
        </w:rPr>
        <w:t>低碳建造评估</w:t>
      </w:r>
      <w:r>
        <w:rPr>
          <w:rFonts w:ascii="宋体" w:hAnsi="宋体" w:eastAsia="宋体" w:cs="宋体"/>
          <w:spacing w:val="-1"/>
          <w:sz w:val="24"/>
          <w:szCs w:val="24"/>
        </w:rPr>
        <w:t>。</w:t>
      </w:r>
    </w:p>
    <w:p w14:paraId="2C4BD346">
      <w:pPr>
        <w:spacing w:before="2" w:line="360" w:lineRule="auto"/>
        <w:ind w:left="23" w:right="61" w:firstLine="480"/>
        <w:jc w:val="both"/>
        <w:rPr>
          <w:rFonts w:ascii="宋体" w:hAnsi="宋体" w:eastAsia="宋体" w:cs="宋体"/>
          <w:sz w:val="24"/>
          <w:szCs w:val="24"/>
        </w:rPr>
      </w:pPr>
      <w:r>
        <w:rPr>
          <w:rFonts w:hint="eastAsia" w:ascii="宋体" w:hAnsi="宋体" w:eastAsia="宋体" w:cs="宋体"/>
          <w:spacing w:val="-3"/>
          <w:sz w:val="24"/>
          <w:szCs w:val="24"/>
          <w:lang w:eastAsia="zh-CN"/>
        </w:rPr>
        <w:t>本标准由</w:t>
      </w:r>
      <w:r>
        <w:rPr>
          <w:rFonts w:hint="eastAsia" w:ascii="宋体" w:hAnsi="宋体" w:eastAsia="宋体" w:cs="宋体"/>
          <w:spacing w:val="-3"/>
          <w:sz w:val="24"/>
          <w:szCs w:val="24"/>
        </w:rPr>
        <w:t>中国建筑业协会负责管理，由中建西南咨询顾问有限公司</w:t>
      </w:r>
      <w:r>
        <w:rPr>
          <w:rFonts w:ascii="宋体" w:hAnsi="宋体" w:eastAsia="宋体" w:cs="宋体"/>
          <w:spacing w:val="-3"/>
          <w:sz w:val="24"/>
          <w:szCs w:val="24"/>
        </w:rPr>
        <w:t>负责具体技术内容的</w:t>
      </w:r>
      <w:r>
        <w:rPr>
          <w:rFonts w:ascii="宋体" w:hAnsi="宋体" w:eastAsia="宋体" w:cs="宋体"/>
          <w:spacing w:val="-4"/>
          <w:sz w:val="24"/>
          <w:szCs w:val="24"/>
        </w:rPr>
        <w:t>解释。请各单</w:t>
      </w:r>
      <w:r>
        <w:rPr>
          <w:rFonts w:ascii="宋体" w:hAnsi="宋体" w:eastAsia="宋体" w:cs="宋体"/>
          <w:spacing w:val="-3"/>
          <w:sz w:val="24"/>
          <w:szCs w:val="24"/>
        </w:rPr>
        <w:t>位在执行过程中总结实践经验，积累资料，随时将有关意见和建议反馈给</w:t>
      </w:r>
      <w:r>
        <w:rPr>
          <w:rFonts w:hint="eastAsia" w:ascii="宋体" w:hAnsi="宋体" w:eastAsia="宋体" w:cs="宋体"/>
          <w:spacing w:val="-3"/>
          <w:sz w:val="24"/>
          <w:szCs w:val="24"/>
        </w:rPr>
        <w:t>中建西南咨询顾问有限公司</w:t>
      </w:r>
      <w:r>
        <w:rPr>
          <w:rFonts w:ascii="宋体" w:hAnsi="宋体" w:eastAsia="宋体" w:cs="宋体"/>
          <w:sz w:val="24"/>
          <w:szCs w:val="24"/>
        </w:rPr>
        <w:t>。（地址：</w:t>
      </w:r>
      <w:r>
        <w:rPr>
          <w:rFonts w:hint="eastAsia" w:ascii="宋体" w:hAnsi="宋体" w:eastAsia="宋体" w:cs="宋体"/>
          <w:sz w:val="24"/>
          <w:szCs w:val="24"/>
          <w:lang w:val="en-US" w:eastAsia="zh-CN"/>
        </w:rPr>
        <w:t>四川省成都市天府新区中建滨湖设计总部</w:t>
      </w:r>
      <w:r>
        <w:rPr>
          <w:rFonts w:ascii="宋体" w:hAnsi="宋体" w:eastAsia="宋体" w:cs="宋体"/>
          <w:spacing w:val="-2"/>
          <w:sz w:val="24"/>
          <w:szCs w:val="24"/>
        </w:rPr>
        <w:t>；邮政编码：</w:t>
      </w:r>
      <w:r>
        <w:rPr>
          <w:rFonts w:hint="eastAsia" w:ascii="Times New Roman" w:hAnsi="Times New Roman" w:eastAsia="宋体" w:cs="Times New Roman"/>
          <w:spacing w:val="-2"/>
          <w:sz w:val="24"/>
          <w:szCs w:val="24"/>
          <w:lang w:val="en-US" w:eastAsia="zh-CN"/>
        </w:rPr>
        <w:t>610299</w:t>
      </w:r>
      <w:r>
        <w:rPr>
          <w:rFonts w:ascii="宋体" w:hAnsi="宋体" w:eastAsia="宋体" w:cs="宋体"/>
          <w:spacing w:val="-2"/>
          <w:sz w:val="24"/>
          <w:szCs w:val="24"/>
        </w:rPr>
        <w:t>）</w:t>
      </w:r>
    </w:p>
    <w:p w14:paraId="5DA3FCF1">
      <w:pPr>
        <w:spacing w:before="184" w:line="219" w:lineRule="auto"/>
        <w:ind w:firstLine="476" w:firstLineChars="200"/>
        <w:jc w:val="both"/>
        <w:rPr>
          <w:rFonts w:hint="eastAsia" w:ascii="宋体" w:hAnsi="宋体" w:eastAsia="宋体" w:cs="宋体"/>
          <w:spacing w:val="-3"/>
          <w:sz w:val="24"/>
          <w:szCs w:val="24"/>
        </w:rPr>
      </w:pPr>
      <w:r>
        <w:rPr>
          <w:rFonts w:ascii="宋体" w:hAnsi="宋体" w:eastAsia="宋体" w:cs="宋体"/>
          <w:spacing w:val="-1"/>
          <w:sz w:val="24"/>
          <w:szCs w:val="24"/>
        </w:rPr>
        <w:t>本</w:t>
      </w:r>
      <w:r>
        <w:rPr>
          <w:rFonts w:hint="eastAsia" w:ascii="宋体" w:hAnsi="宋体" w:eastAsia="宋体" w:cs="宋体"/>
          <w:spacing w:val="-1"/>
          <w:sz w:val="24"/>
          <w:szCs w:val="24"/>
          <w:lang w:eastAsia="zh-CN"/>
        </w:rPr>
        <w:t>标准</w:t>
      </w:r>
      <w:r>
        <w:rPr>
          <w:rFonts w:ascii="宋体" w:hAnsi="宋体" w:eastAsia="宋体" w:cs="宋体"/>
          <w:spacing w:val="-1"/>
          <w:sz w:val="24"/>
          <w:szCs w:val="24"/>
        </w:rPr>
        <w:t>主编单位：</w:t>
      </w:r>
      <w:r>
        <w:rPr>
          <w:rFonts w:hint="eastAsia" w:ascii="宋体" w:hAnsi="宋体" w:eastAsia="宋体" w:cs="宋体"/>
          <w:spacing w:val="-3"/>
          <w:sz w:val="24"/>
          <w:szCs w:val="24"/>
        </w:rPr>
        <w:t>中建西南咨询顾问有限公司</w:t>
      </w:r>
    </w:p>
    <w:p w14:paraId="2616014E">
      <w:pPr>
        <w:spacing w:before="184" w:line="219" w:lineRule="auto"/>
        <w:ind w:firstLine="468" w:firstLineChars="200"/>
        <w:jc w:val="both"/>
        <w:rPr>
          <w:rFonts w:hint="default" w:ascii="宋体" w:hAnsi="宋体" w:eastAsia="宋体" w:cs="宋体"/>
          <w:sz w:val="24"/>
          <w:szCs w:val="24"/>
          <w:lang w:val="en-US" w:eastAsia="zh-CN"/>
        </w:rPr>
      </w:pPr>
      <w:r>
        <w:rPr>
          <w:rFonts w:hint="eastAsia" w:ascii="宋体" w:hAnsi="宋体" w:eastAsia="宋体" w:cs="宋体"/>
          <w:spacing w:val="-3"/>
          <w:sz w:val="24"/>
          <w:szCs w:val="24"/>
        </w:rPr>
        <w:t xml:space="preserve">             </w:t>
      </w:r>
      <w:r>
        <w:rPr>
          <w:rFonts w:ascii="宋体" w:hAnsi="宋体" w:eastAsia="宋体" w:cs="宋体"/>
          <w:spacing w:val="-1"/>
          <w:sz w:val="24"/>
          <w:szCs w:val="24"/>
        </w:rPr>
        <w:t xml:space="preserve">  </w:t>
      </w:r>
      <w:r>
        <w:rPr>
          <w:rFonts w:hint="eastAsia" w:ascii="宋体" w:hAnsi="宋体" w:eastAsia="宋体" w:cs="宋体"/>
          <w:spacing w:val="-1"/>
          <w:sz w:val="24"/>
          <w:szCs w:val="24"/>
        </w:rPr>
        <w:t xml:space="preserve">  </w:t>
      </w:r>
      <w:r>
        <w:rPr>
          <w:rFonts w:ascii="宋体" w:hAnsi="宋体" w:eastAsia="宋体" w:cs="宋体"/>
          <w:i w:val="0"/>
          <w:strike w:val="0"/>
          <w:spacing w:val="-3"/>
          <w:sz w:val="24"/>
          <w:u w:val="none"/>
        </w:rPr>
        <w:t>中建协兴国际工程咨询有限公司</w:t>
      </w:r>
      <w:r>
        <w:rPr>
          <w:rFonts w:hint="eastAsia" w:ascii="宋体" w:hAnsi="宋体" w:eastAsia="宋体" w:cs="宋体"/>
          <w:spacing w:val="-1"/>
          <w:sz w:val="24"/>
          <w:szCs w:val="24"/>
          <w:lang w:val="en-US" w:eastAsia="zh-CN"/>
        </w:rPr>
        <w:t xml:space="preserve">    </w:t>
      </w:r>
    </w:p>
    <w:p w14:paraId="40AC18D0">
      <w:pPr>
        <w:spacing w:before="3" w:line="359" w:lineRule="auto"/>
        <w:ind w:right="2800" w:firstLine="476" w:firstLineChars="200"/>
        <w:rPr>
          <w:rFonts w:ascii="宋体" w:hAnsi="宋体" w:eastAsia="宋体" w:cs="宋体"/>
          <w:spacing w:val="-1"/>
          <w:sz w:val="24"/>
          <w:szCs w:val="24"/>
        </w:rPr>
      </w:pPr>
      <w:r>
        <w:rPr>
          <w:rFonts w:ascii="宋体" w:hAnsi="宋体" w:eastAsia="宋体" w:cs="宋体"/>
          <w:spacing w:val="-1"/>
          <w:sz w:val="24"/>
          <w:szCs w:val="24"/>
        </w:rPr>
        <w:t>本</w:t>
      </w:r>
      <w:r>
        <w:rPr>
          <w:rFonts w:hint="eastAsia" w:ascii="宋体" w:hAnsi="宋体" w:eastAsia="宋体" w:cs="宋体"/>
          <w:spacing w:val="-1"/>
          <w:sz w:val="24"/>
          <w:szCs w:val="24"/>
          <w:lang w:eastAsia="zh-CN"/>
        </w:rPr>
        <w:t>标准</w:t>
      </w:r>
      <w:r>
        <w:rPr>
          <w:rFonts w:ascii="宋体" w:hAnsi="宋体" w:eastAsia="宋体" w:cs="宋体"/>
          <w:spacing w:val="-1"/>
          <w:sz w:val="24"/>
          <w:szCs w:val="24"/>
        </w:rPr>
        <w:t xml:space="preserve">参编单位： </w:t>
      </w:r>
    </w:p>
    <w:p w14:paraId="7EF39A02">
      <w:pPr>
        <w:spacing w:before="3" w:line="359" w:lineRule="auto"/>
        <w:ind w:right="2800" w:firstLine="476" w:firstLineChars="200"/>
        <w:rPr>
          <w:rFonts w:ascii="宋体" w:hAnsi="宋体" w:eastAsia="宋体" w:cs="宋体"/>
          <w:spacing w:val="-1"/>
          <w:sz w:val="24"/>
          <w:szCs w:val="24"/>
        </w:rPr>
      </w:pPr>
    </w:p>
    <w:p w14:paraId="5CA0C61F">
      <w:pPr>
        <w:spacing w:line="360" w:lineRule="auto"/>
        <w:ind w:right="776" w:rightChars="0" w:firstLine="472" w:firstLineChars="200"/>
        <w:jc w:val="left"/>
        <w:rPr>
          <w:rFonts w:ascii="宋体" w:hAnsi="宋体" w:eastAsia="宋体" w:cs="宋体"/>
          <w:spacing w:val="-2"/>
          <w:sz w:val="24"/>
          <w:szCs w:val="24"/>
        </w:rPr>
      </w:pPr>
      <w:r>
        <w:rPr>
          <w:rFonts w:ascii="宋体" w:hAnsi="宋体" w:eastAsia="宋体" w:cs="宋体"/>
          <w:spacing w:val="-2"/>
          <w:sz w:val="24"/>
          <w:szCs w:val="24"/>
        </w:rPr>
        <w:t>本</w:t>
      </w:r>
      <w:r>
        <w:rPr>
          <w:rFonts w:hint="eastAsia" w:ascii="宋体" w:hAnsi="宋体" w:eastAsia="宋体" w:cs="宋体"/>
          <w:spacing w:val="-2"/>
          <w:sz w:val="24"/>
          <w:szCs w:val="24"/>
          <w:lang w:eastAsia="zh-CN"/>
        </w:rPr>
        <w:t>标准</w:t>
      </w:r>
      <w:r>
        <w:rPr>
          <w:rFonts w:ascii="宋体" w:hAnsi="宋体" w:eastAsia="宋体" w:cs="宋体"/>
          <w:spacing w:val="-2"/>
          <w:sz w:val="24"/>
          <w:szCs w:val="24"/>
        </w:rPr>
        <w:t>主要起草人员：</w:t>
      </w:r>
    </w:p>
    <w:p w14:paraId="40A3C941">
      <w:pPr>
        <w:spacing w:line="360" w:lineRule="auto"/>
        <w:ind w:right="776" w:rightChars="0" w:firstLine="472" w:firstLineChars="200"/>
        <w:jc w:val="left"/>
        <w:rPr>
          <w:rFonts w:ascii="宋体" w:hAnsi="宋体" w:eastAsia="宋体" w:cs="宋体"/>
          <w:spacing w:val="-2"/>
          <w:sz w:val="24"/>
          <w:szCs w:val="24"/>
        </w:rPr>
      </w:pPr>
    </w:p>
    <w:p w14:paraId="07EAF7DA">
      <w:pPr>
        <w:spacing w:line="360" w:lineRule="auto"/>
        <w:ind w:right="776" w:rightChars="0" w:firstLine="472" w:firstLineChars="200"/>
        <w:jc w:val="left"/>
      </w:pPr>
      <w:r>
        <w:rPr>
          <w:rFonts w:ascii="宋体" w:hAnsi="宋体" w:eastAsia="宋体" w:cs="宋体"/>
          <w:spacing w:val="-2"/>
          <w:sz w:val="24"/>
          <w:szCs w:val="24"/>
        </w:rPr>
        <w:t xml:space="preserve"> </w:t>
      </w:r>
    </w:p>
    <w:p w14:paraId="25501EA0">
      <w:pPr>
        <w:spacing w:before="3" w:line="359" w:lineRule="auto"/>
        <w:ind w:right="2800" w:firstLine="468" w:firstLineChars="200"/>
        <w:rPr>
          <w:rFonts w:ascii="宋体" w:hAnsi="宋体" w:eastAsia="宋体" w:cs="宋体"/>
          <w:spacing w:val="-1"/>
          <w:sz w:val="24"/>
          <w:szCs w:val="24"/>
        </w:rPr>
        <w:sectPr>
          <w:footerReference r:id="rId6" w:type="default"/>
          <w:pgSz w:w="11906" w:h="16839"/>
          <w:pgMar w:top="1431" w:right="1785" w:bottom="1151" w:left="1785" w:header="0" w:footer="987" w:gutter="0"/>
          <w:pgNumType w:fmt="decimal"/>
          <w:cols w:space="720" w:num="1"/>
        </w:sectPr>
      </w:pPr>
      <w:r>
        <w:rPr>
          <w:rFonts w:ascii="宋体" w:hAnsi="宋体" w:eastAsia="宋体" w:cs="宋体"/>
          <w:spacing w:val="-3"/>
          <w:sz w:val="24"/>
          <w:szCs w:val="24"/>
        </w:rPr>
        <w:t>本</w:t>
      </w:r>
      <w:r>
        <w:rPr>
          <w:rFonts w:hint="eastAsia" w:ascii="宋体" w:hAnsi="宋体" w:eastAsia="宋体" w:cs="宋体"/>
          <w:spacing w:val="-3"/>
          <w:sz w:val="24"/>
          <w:szCs w:val="24"/>
          <w:lang w:eastAsia="zh-CN"/>
        </w:rPr>
        <w:t>标准</w:t>
      </w:r>
      <w:r>
        <w:rPr>
          <w:rFonts w:ascii="宋体" w:hAnsi="宋体" w:eastAsia="宋体" w:cs="宋体"/>
          <w:spacing w:val="-3"/>
          <w:sz w:val="24"/>
          <w:szCs w:val="24"/>
        </w:rPr>
        <w:t>主要审查人员：</w:t>
      </w:r>
      <w:r>
        <w:rPr>
          <w:rFonts w:ascii="宋体" w:hAnsi="宋体" w:eastAsia="宋体" w:cs="宋体"/>
          <w:spacing w:val="21"/>
          <w:sz w:val="24"/>
          <w:szCs w:val="24"/>
        </w:rPr>
        <w:t xml:space="preserve"> </w:t>
      </w:r>
    </w:p>
    <w:p w14:paraId="28CB61B8">
      <w:pPr>
        <w:pStyle w:val="7"/>
        <w:spacing w:line="313" w:lineRule="auto"/>
      </w:pPr>
      <w:r>
        <w:rPr>
          <w:rFonts w:ascii="宋体" w:hAnsi="宋体" w:eastAsia="宋体" w:cs="宋体"/>
          <w:spacing w:val="21"/>
          <w:sz w:val="24"/>
          <w:szCs w:val="24"/>
        </w:rPr>
        <w:t xml:space="preserve"> </w:t>
      </w:r>
    </w:p>
    <w:sdt>
      <w:sdtPr>
        <w:rPr>
          <w:rFonts w:ascii="宋体" w:hAnsi="宋体" w:eastAsia="宋体" w:cs="Arial"/>
          <w:snapToGrid w:val="0"/>
          <w:color w:val="000000"/>
          <w:kern w:val="0"/>
          <w:sz w:val="21"/>
          <w:szCs w:val="21"/>
          <w:lang w:val="en-US" w:eastAsia="en-US" w:bidi="ar-SA"/>
        </w:rPr>
        <w:id w:val="147478412"/>
        <w15:color w:val="DBDBDB"/>
        <w:docPartObj>
          <w:docPartGallery w:val="Table of Contents"/>
          <w:docPartUnique/>
        </w:docPartObj>
      </w:sdtPr>
      <w:sdtEndPr>
        <w:rPr>
          <w:rFonts w:ascii="Times New Roman" w:hAnsi="Times New Roman" w:eastAsia="Times New Roman" w:cs="Times New Roman"/>
          <w:snapToGrid w:val="0"/>
          <w:color w:val="000000"/>
          <w:kern w:val="0"/>
          <w:sz w:val="21"/>
          <w:szCs w:val="24"/>
          <w:lang w:val="en-US" w:eastAsia="en-US" w:bidi="ar-SA"/>
        </w:rPr>
      </w:sdtEndPr>
      <w:sdtContent>
        <w:p w14:paraId="5E790D33">
          <w:pPr>
            <w:spacing w:before="0" w:beforeLines="0" w:after="0" w:afterLines="0" w:line="240" w:lineRule="auto"/>
            <w:ind w:left="0" w:leftChars="0" w:right="0" w:rightChars="0" w:firstLine="0" w:firstLineChars="0"/>
            <w:jc w:val="center"/>
          </w:pPr>
          <w:r>
            <w:rPr>
              <w:rFonts w:ascii="宋体" w:hAnsi="宋体" w:eastAsia="宋体"/>
              <w:sz w:val="21"/>
            </w:rPr>
            <w:t>目录</w:t>
          </w:r>
        </w:p>
        <w:p w14:paraId="023D3D56"/>
        <w:p w14:paraId="661C99F4">
          <w:pPr>
            <w:pStyle w:val="12"/>
            <w:tabs>
              <w:tab w:val="right" w:leader="dot" w:pos="8336"/>
            </w:tabs>
          </w:pPr>
          <w:r>
            <w:fldChar w:fldCharType="begin"/>
          </w:r>
          <w:r>
            <w:instrText xml:space="preserve">TOC \u \o "1-3" \h \tdkey 7f5q52</w:instrText>
          </w:r>
          <w:r>
            <w:fldChar w:fldCharType="separate"/>
          </w:r>
          <w:r>
            <w:fldChar w:fldCharType="begin"/>
          </w:r>
          <w:r>
            <w:instrText xml:space="preserve"> HYPERLINK \l _Toc16334 </w:instrText>
          </w:r>
          <w:r>
            <w:fldChar w:fldCharType="separate"/>
          </w:r>
          <w:r>
            <w:rPr>
              <w:rFonts w:ascii="Times New Roman" w:hAnsi="Times New Roman" w:eastAsia="Times New Roman" w:cs="Times New Roman"/>
              <w:spacing w:val="-2"/>
              <w:szCs w:val="28"/>
            </w:rPr>
            <w:t>ICS</w:t>
          </w:r>
          <w:r>
            <w:tab/>
          </w:r>
          <w:r>
            <w:fldChar w:fldCharType="begin"/>
          </w:r>
          <w:r>
            <w:instrText xml:space="preserve"> PAGEREF _Toc16334 \h </w:instrText>
          </w:r>
          <w:r>
            <w:fldChar w:fldCharType="separate"/>
          </w:r>
          <w:r>
            <w:t>1</w:t>
          </w:r>
          <w:r>
            <w:fldChar w:fldCharType="end"/>
          </w:r>
          <w:r>
            <w:fldChar w:fldCharType="end"/>
          </w:r>
        </w:p>
        <w:p w14:paraId="32534AFD">
          <w:pPr>
            <w:pStyle w:val="12"/>
            <w:tabs>
              <w:tab w:val="right" w:leader="dot" w:pos="8336"/>
            </w:tabs>
          </w:pPr>
          <w:r>
            <w:fldChar w:fldCharType="begin"/>
          </w:r>
          <w:r>
            <w:instrText xml:space="preserve"> HYPERLINK \l _Toc10787 </w:instrText>
          </w:r>
          <w:r>
            <w:fldChar w:fldCharType="separate"/>
          </w:r>
          <w:r>
            <w:rPr>
              <w:rFonts w:ascii="黑体" w:hAnsi="黑体" w:eastAsia="黑体" w:cs="黑体"/>
              <w:bCs/>
              <w:spacing w:val="-5"/>
              <w:szCs w:val="31"/>
            </w:rPr>
            <w:t>前</w:t>
          </w:r>
          <w:r>
            <w:rPr>
              <w:rFonts w:ascii="黑体" w:hAnsi="黑体" w:eastAsia="黑体" w:cs="黑体"/>
              <w:spacing w:val="12"/>
              <w:szCs w:val="31"/>
            </w:rPr>
            <w:t xml:space="preserve">    </w:t>
          </w:r>
          <w:r>
            <w:rPr>
              <w:rFonts w:ascii="黑体" w:hAnsi="黑体" w:eastAsia="黑体" w:cs="黑体"/>
              <w:bCs/>
              <w:spacing w:val="-5"/>
              <w:szCs w:val="31"/>
            </w:rPr>
            <w:t>言</w:t>
          </w:r>
          <w:r>
            <w:tab/>
          </w:r>
          <w:r>
            <w:fldChar w:fldCharType="begin"/>
          </w:r>
          <w:r>
            <w:instrText xml:space="preserve"> PAGEREF _Toc10787 \h </w:instrText>
          </w:r>
          <w:r>
            <w:fldChar w:fldCharType="separate"/>
          </w:r>
          <w:r>
            <w:t>3</w:t>
          </w:r>
          <w:r>
            <w:fldChar w:fldCharType="end"/>
          </w:r>
          <w:r>
            <w:fldChar w:fldCharType="end"/>
          </w:r>
        </w:p>
        <w:p w14:paraId="63E48E30">
          <w:pPr>
            <w:pStyle w:val="12"/>
            <w:tabs>
              <w:tab w:val="right" w:leader="dot" w:pos="8336"/>
            </w:tabs>
          </w:pPr>
          <w:r>
            <w:fldChar w:fldCharType="begin"/>
          </w:r>
          <w:r>
            <w:instrText xml:space="preserve"> HYPERLINK \l _Toc32482 </w:instrText>
          </w:r>
          <w:r>
            <w:fldChar w:fldCharType="separate"/>
          </w:r>
          <w:r>
            <w:rPr>
              <w:rFonts w:ascii="Times New Roman" w:hAnsi="Times New Roman" w:eastAsia="Times New Roman" w:cs="Times New Roman"/>
              <w:bCs/>
              <w:spacing w:val="-16"/>
              <w:szCs w:val="30"/>
            </w:rPr>
            <w:t>1</w:t>
          </w:r>
          <w:r>
            <w:rPr>
              <w:rFonts w:ascii="Times New Roman" w:hAnsi="Times New Roman" w:eastAsia="Times New Roman" w:cs="Times New Roman"/>
              <w:bCs/>
              <w:spacing w:val="3"/>
              <w:szCs w:val="30"/>
            </w:rPr>
            <w:t xml:space="preserve">    </w:t>
          </w:r>
          <w:r>
            <w:rPr>
              <w:rFonts w:ascii="宋体" w:hAnsi="宋体" w:eastAsia="宋体" w:cs="宋体"/>
              <w:bCs/>
              <w:spacing w:val="-16"/>
              <w:szCs w:val="30"/>
            </w:rPr>
            <w:t>总</w:t>
          </w:r>
          <w:r>
            <w:rPr>
              <w:rFonts w:ascii="宋体" w:hAnsi="宋体" w:eastAsia="宋体" w:cs="宋体"/>
              <w:spacing w:val="5"/>
              <w:szCs w:val="30"/>
            </w:rPr>
            <w:t xml:space="preserve">    </w:t>
          </w:r>
          <w:r>
            <w:rPr>
              <w:rFonts w:ascii="宋体" w:hAnsi="宋体" w:eastAsia="宋体" w:cs="宋体"/>
              <w:bCs/>
              <w:spacing w:val="-16"/>
              <w:szCs w:val="30"/>
            </w:rPr>
            <w:t>则</w:t>
          </w:r>
          <w:r>
            <w:tab/>
          </w:r>
          <w:r>
            <w:fldChar w:fldCharType="begin"/>
          </w:r>
          <w:r>
            <w:instrText xml:space="preserve"> PAGEREF _Toc32482 \h </w:instrText>
          </w:r>
          <w:r>
            <w:fldChar w:fldCharType="separate"/>
          </w:r>
          <w:r>
            <w:t>11</w:t>
          </w:r>
          <w:r>
            <w:fldChar w:fldCharType="end"/>
          </w:r>
          <w:r>
            <w:fldChar w:fldCharType="end"/>
          </w:r>
        </w:p>
        <w:p w14:paraId="2B76EA92">
          <w:pPr>
            <w:pStyle w:val="12"/>
            <w:tabs>
              <w:tab w:val="right" w:leader="dot" w:pos="8336"/>
            </w:tabs>
          </w:pPr>
          <w:r>
            <w:fldChar w:fldCharType="begin"/>
          </w:r>
          <w:r>
            <w:instrText xml:space="preserve"> HYPERLINK \l _Toc991 </w:instrText>
          </w:r>
          <w:r>
            <w:fldChar w:fldCharType="separate"/>
          </w:r>
          <w:r>
            <w:rPr>
              <w:rFonts w:ascii="Times New Roman" w:hAnsi="Times New Roman" w:eastAsia="Times New Roman" w:cs="Times New Roman"/>
              <w:bCs/>
              <w:spacing w:val="-3"/>
              <w:szCs w:val="30"/>
            </w:rPr>
            <w:t xml:space="preserve">2    </w:t>
          </w:r>
          <w:r>
            <w:rPr>
              <w:rFonts w:ascii="宋体" w:hAnsi="宋体" w:eastAsia="宋体" w:cs="宋体"/>
              <w:bCs/>
              <w:spacing w:val="-3"/>
              <w:szCs w:val="30"/>
            </w:rPr>
            <w:t>术语和符号</w:t>
          </w:r>
          <w:r>
            <w:tab/>
          </w:r>
          <w:r>
            <w:fldChar w:fldCharType="begin"/>
          </w:r>
          <w:r>
            <w:instrText xml:space="preserve"> PAGEREF _Toc991 \h </w:instrText>
          </w:r>
          <w:r>
            <w:fldChar w:fldCharType="separate"/>
          </w:r>
          <w:r>
            <w:t>12</w:t>
          </w:r>
          <w:r>
            <w:fldChar w:fldCharType="end"/>
          </w:r>
          <w:r>
            <w:fldChar w:fldCharType="end"/>
          </w:r>
        </w:p>
        <w:p w14:paraId="1548D905">
          <w:pPr>
            <w:pStyle w:val="13"/>
            <w:tabs>
              <w:tab w:val="right" w:leader="dot" w:pos="8336"/>
            </w:tabs>
          </w:pPr>
          <w:r>
            <w:fldChar w:fldCharType="begin"/>
          </w:r>
          <w:r>
            <w:instrText xml:space="preserve"> HYPERLINK \l _Toc28652 </w:instrText>
          </w:r>
          <w:r>
            <w:fldChar w:fldCharType="separate"/>
          </w:r>
          <w:r>
            <w:rPr>
              <w:rFonts w:ascii="黑体" w:hAnsi="黑体" w:eastAsia="黑体" w:cs="黑体"/>
              <w:bCs/>
              <w:spacing w:val="-6"/>
              <w:szCs w:val="24"/>
            </w:rPr>
            <w:t>2.1</w:t>
          </w:r>
          <w:r>
            <w:rPr>
              <w:rFonts w:ascii="黑体" w:hAnsi="黑体" w:eastAsia="黑体" w:cs="黑体"/>
              <w:spacing w:val="105"/>
              <w:szCs w:val="24"/>
            </w:rPr>
            <w:t xml:space="preserve"> </w:t>
          </w:r>
          <w:r>
            <w:rPr>
              <w:rFonts w:ascii="黑体" w:hAnsi="黑体" w:eastAsia="黑体" w:cs="黑体"/>
              <w:bCs/>
              <w:spacing w:val="-6"/>
              <w:szCs w:val="28"/>
            </w:rPr>
            <w:t>术</w:t>
          </w:r>
          <w:r>
            <w:rPr>
              <w:rFonts w:hint="eastAsia" w:ascii="黑体" w:hAnsi="黑体" w:eastAsia="黑体" w:cs="黑体"/>
              <w:bCs/>
              <w:spacing w:val="-6"/>
              <w:szCs w:val="28"/>
              <w:lang w:val="en-US" w:eastAsia="zh-CN"/>
            </w:rPr>
            <w:t xml:space="preserve">  </w:t>
          </w:r>
          <w:r>
            <w:rPr>
              <w:rFonts w:ascii="黑体" w:hAnsi="黑体" w:eastAsia="黑体" w:cs="黑体"/>
              <w:bCs/>
              <w:spacing w:val="-6"/>
              <w:szCs w:val="28"/>
            </w:rPr>
            <w:t>语</w:t>
          </w:r>
          <w:r>
            <w:tab/>
          </w:r>
          <w:r>
            <w:fldChar w:fldCharType="begin"/>
          </w:r>
          <w:r>
            <w:instrText xml:space="preserve"> PAGEREF _Toc28652 \h </w:instrText>
          </w:r>
          <w:r>
            <w:fldChar w:fldCharType="separate"/>
          </w:r>
          <w:r>
            <w:t>12</w:t>
          </w:r>
          <w:r>
            <w:fldChar w:fldCharType="end"/>
          </w:r>
          <w:r>
            <w:fldChar w:fldCharType="end"/>
          </w:r>
        </w:p>
        <w:p w14:paraId="00FF07E6">
          <w:pPr>
            <w:pStyle w:val="13"/>
            <w:tabs>
              <w:tab w:val="right" w:leader="dot" w:pos="8336"/>
            </w:tabs>
          </w:pPr>
          <w:r>
            <w:fldChar w:fldCharType="begin"/>
          </w:r>
          <w:r>
            <w:instrText xml:space="preserve"> HYPERLINK \l _Toc27819 </w:instrText>
          </w:r>
          <w:r>
            <w:fldChar w:fldCharType="separate"/>
          </w:r>
          <w:r>
            <w:rPr>
              <w:rFonts w:ascii="黑体" w:hAnsi="黑体" w:eastAsia="黑体" w:cs="黑体"/>
              <w:bCs/>
              <w:spacing w:val="-6"/>
              <w:szCs w:val="24"/>
            </w:rPr>
            <w:t>2.2</w:t>
          </w:r>
          <w:r>
            <w:rPr>
              <w:rFonts w:ascii="黑体" w:hAnsi="黑体" w:eastAsia="黑体" w:cs="黑体"/>
              <w:spacing w:val="105"/>
              <w:szCs w:val="24"/>
            </w:rPr>
            <w:t xml:space="preserve"> </w:t>
          </w:r>
          <w:r>
            <w:rPr>
              <w:rFonts w:ascii="黑体" w:hAnsi="黑体" w:eastAsia="黑体" w:cs="黑体"/>
              <w:bCs/>
              <w:spacing w:val="-6"/>
              <w:szCs w:val="28"/>
            </w:rPr>
            <w:t>符</w:t>
          </w:r>
          <w:r>
            <w:rPr>
              <w:rFonts w:hint="eastAsia" w:ascii="黑体" w:hAnsi="黑体" w:eastAsia="黑体" w:cs="黑体"/>
              <w:bCs/>
              <w:spacing w:val="-6"/>
              <w:szCs w:val="28"/>
              <w:lang w:val="en-US" w:eastAsia="zh-CN"/>
            </w:rPr>
            <w:t xml:space="preserve">  </w:t>
          </w:r>
          <w:r>
            <w:rPr>
              <w:rFonts w:ascii="黑体" w:hAnsi="黑体" w:eastAsia="黑体" w:cs="黑体"/>
              <w:bCs/>
              <w:spacing w:val="-6"/>
              <w:szCs w:val="28"/>
            </w:rPr>
            <w:t>号</w:t>
          </w:r>
          <w:r>
            <w:tab/>
          </w:r>
          <w:r>
            <w:fldChar w:fldCharType="begin"/>
          </w:r>
          <w:r>
            <w:instrText xml:space="preserve"> PAGEREF _Toc27819 \h </w:instrText>
          </w:r>
          <w:r>
            <w:fldChar w:fldCharType="separate"/>
          </w:r>
          <w:r>
            <w:t>13</w:t>
          </w:r>
          <w:r>
            <w:fldChar w:fldCharType="end"/>
          </w:r>
          <w:r>
            <w:fldChar w:fldCharType="end"/>
          </w:r>
        </w:p>
        <w:p w14:paraId="1F005FF1">
          <w:pPr>
            <w:pStyle w:val="12"/>
            <w:tabs>
              <w:tab w:val="right" w:leader="dot" w:pos="8336"/>
            </w:tabs>
          </w:pPr>
          <w:r>
            <w:fldChar w:fldCharType="begin"/>
          </w:r>
          <w:r>
            <w:instrText xml:space="preserve"> HYPERLINK \l _Toc24046 </w:instrText>
          </w:r>
          <w:r>
            <w:fldChar w:fldCharType="separate"/>
          </w:r>
          <w:r>
            <w:rPr>
              <w:rFonts w:ascii="Times New Roman" w:hAnsi="Times New Roman" w:eastAsia="Times New Roman" w:cs="Times New Roman"/>
              <w:bCs/>
              <w:spacing w:val="-3"/>
              <w:szCs w:val="30"/>
            </w:rPr>
            <w:t xml:space="preserve">3    </w:t>
          </w:r>
          <w:r>
            <w:rPr>
              <w:rFonts w:hint="eastAsia" w:ascii="宋体" w:hAnsi="宋体" w:eastAsia="宋体" w:cs="宋体"/>
              <w:bCs/>
              <w:spacing w:val="-3"/>
              <w:szCs w:val="30"/>
            </w:rPr>
            <w:t>基本规定</w:t>
          </w:r>
          <w:r>
            <w:tab/>
          </w:r>
          <w:r>
            <w:fldChar w:fldCharType="begin"/>
          </w:r>
          <w:r>
            <w:instrText xml:space="preserve"> PAGEREF _Toc24046 \h </w:instrText>
          </w:r>
          <w:r>
            <w:fldChar w:fldCharType="separate"/>
          </w:r>
          <w:r>
            <w:t>14</w:t>
          </w:r>
          <w:r>
            <w:fldChar w:fldCharType="end"/>
          </w:r>
          <w:r>
            <w:fldChar w:fldCharType="end"/>
          </w:r>
        </w:p>
        <w:p w14:paraId="13721B52">
          <w:pPr>
            <w:pStyle w:val="13"/>
            <w:tabs>
              <w:tab w:val="right" w:leader="dot" w:pos="8336"/>
            </w:tabs>
          </w:pPr>
          <w:r>
            <w:fldChar w:fldCharType="begin"/>
          </w:r>
          <w:r>
            <w:instrText xml:space="preserve"> HYPERLINK \l _Toc5391 </w:instrText>
          </w:r>
          <w:r>
            <w:fldChar w:fldCharType="separate"/>
          </w:r>
          <w:r>
            <w:rPr>
              <w:rFonts w:ascii="Times New Roman" w:hAnsi="Times New Roman" w:eastAsia="Times New Roman" w:cs="Times New Roman"/>
              <w:bCs/>
              <w:spacing w:val="-5"/>
              <w:szCs w:val="24"/>
            </w:rPr>
            <w:t>3.1</w:t>
          </w:r>
          <w:r>
            <w:rPr>
              <w:rFonts w:ascii="Times New Roman" w:hAnsi="Times New Roman" w:eastAsia="Times New Roman" w:cs="Times New Roman"/>
              <w:bCs/>
              <w:spacing w:val="13"/>
              <w:szCs w:val="24"/>
            </w:rPr>
            <w:t xml:space="preserve">  </w:t>
          </w:r>
          <w:r>
            <w:rPr>
              <w:rFonts w:ascii="黑体" w:hAnsi="黑体" w:eastAsia="黑体" w:cs="黑体"/>
              <w:bCs/>
              <w:spacing w:val="-5"/>
              <w:szCs w:val="28"/>
            </w:rPr>
            <w:t>一般规定</w:t>
          </w:r>
          <w:r>
            <w:tab/>
          </w:r>
          <w:r>
            <w:fldChar w:fldCharType="begin"/>
          </w:r>
          <w:r>
            <w:instrText xml:space="preserve"> PAGEREF _Toc5391 \h </w:instrText>
          </w:r>
          <w:r>
            <w:fldChar w:fldCharType="separate"/>
          </w:r>
          <w:r>
            <w:t>14</w:t>
          </w:r>
          <w:r>
            <w:fldChar w:fldCharType="end"/>
          </w:r>
          <w:r>
            <w:fldChar w:fldCharType="end"/>
          </w:r>
        </w:p>
        <w:p w14:paraId="7B2DF177">
          <w:pPr>
            <w:pStyle w:val="13"/>
            <w:tabs>
              <w:tab w:val="right" w:leader="dot" w:pos="8336"/>
            </w:tabs>
          </w:pPr>
          <w:r>
            <w:fldChar w:fldCharType="begin"/>
          </w:r>
          <w:r>
            <w:instrText xml:space="preserve"> HYPERLINK \l _Toc19100 </w:instrText>
          </w:r>
          <w:r>
            <w:fldChar w:fldCharType="separate"/>
          </w:r>
          <w:r>
            <w:rPr>
              <w:rFonts w:hint="eastAsia" w:ascii="黑体" w:hAnsi="黑体" w:eastAsia="黑体" w:cs="黑体"/>
              <w:bCs/>
              <w:spacing w:val="-5"/>
              <w:szCs w:val="24"/>
              <w:lang w:eastAsia="zh-CN"/>
            </w:rPr>
            <w:t>3</w:t>
          </w:r>
          <w:r>
            <w:rPr>
              <w:rFonts w:ascii="黑体" w:hAnsi="黑体" w:eastAsia="黑体" w:cs="黑体"/>
              <w:bCs/>
              <w:spacing w:val="-5"/>
              <w:szCs w:val="24"/>
            </w:rPr>
            <w:t>.2</w:t>
          </w:r>
          <w:r>
            <w:rPr>
              <w:rFonts w:ascii="黑体" w:hAnsi="黑体" w:eastAsia="黑体" w:cs="黑体"/>
              <w:spacing w:val="113"/>
              <w:szCs w:val="24"/>
            </w:rPr>
            <w:t xml:space="preserve"> </w:t>
          </w:r>
          <w:r>
            <w:rPr>
              <w:rFonts w:hint="eastAsia" w:ascii="黑体" w:hAnsi="黑体" w:eastAsia="黑体" w:cs="黑体"/>
              <w:bCs/>
              <w:spacing w:val="-5"/>
              <w:szCs w:val="28"/>
            </w:rPr>
            <w:t>组织与职责</w:t>
          </w:r>
          <w:r>
            <w:tab/>
          </w:r>
          <w:r>
            <w:fldChar w:fldCharType="begin"/>
          </w:r>
          <w:r>
            <w:instrText xml:space="preserve"> PAGEREF _Toc19100 \h </w:instrText>
          </w:r>
          <w:r>
            <w:fldChar w:fldCharType="separate"/>
          </w:r>
          <w:r>
            <w:t>15</w:t>
          </w:r>
          <w:r>
            <w:fldChar w:fldCharType="end"/>
          </w:r>
          <w:r>
            <w:fldChar w:fldCharType="end"/>
          </w:r>
        </w:p>
        <w:p w14:paraId="22011968">
          <w:pPr>
            <w:pStyle w:val="13"/>
            <w:tabs>
              <w:tab w:val="right" w:leader="dot" w:pos="8336"/>
            </w:tabs>
          </w:pPr>
          <w:r>
            <w:fldChar w:fldCharType="begin"/>
          </w:r>
          <w:r>
            <w:instrText xml:space="preserve"> HYPERLINK \l _Toc26138 </w:instrText>
          </w:r>
          <w:r>
            <w:fldChar w:fldCharType="separate"/>
          </w:r>
          <w:r>
            <w:rPr>
              <w:rFonts w:hint="eastAsia" w:ascii="黑体" w:hAnsi="黑体" w:eastAsia="黑体" w:cs="黑体"/>
              <w:bCs/>
              <w:spacing w:val="-6"/>
              <w:szCs w:val="24"/>
              <w:lang w:eastAsia="zh-CN"/>
            </w:rPr>
            <w:t>3</w:t>
          </w:r>
          <w:r>
            <w:rPr>
              <w:rFonts w:ascii="黑体" w:hAnsi="黑体" w:eastAsia="黑体" w:cs="黑体"/>
              <w:bCs/>
              <w:spacing w:val="-6"/>
              <w:szCs w:val="24"/>
            </w:rPr>
            <w:t>.3</w:t>
          </w:r>
          <w:r>
            <w:rPr>
              <w:rFonts w:ascii="黑体" w:hAnsi="黑体" w:eastAsia="黑体" w:cs="黑体"/>
              <w:spacing w:val="106"/>
              <w:szCs w:val="24"/>
            </w:rPr>
            <w:t xml:space="preserve"> </w:t>
          </w:r>
          <w:r>
            <w:rPr>
              <w:rFonts w:ascii="黑体" w:hAnsi="黑体" w:eastAsia="黑体" w:cs="黑体"/>
              <w:bCs/>
              <w:spacing w:val="-6"/>
              <w:szCs w:val="28"/>
            </w:rPr>
            <w:t>管理</w:t>
          </w:r>
          <w:r>
            <w:rPr>
              <w:rFonts w:hint="eastAsia" w:ascii="黑体" w:hAnsi="黑体" w:eastAsia="黑体" w:cs="黑体"/>
              <w:bCs/>
              <w:spacing w:val="-6"/>
              <w:szCs w:val="28"/>
              <w:lang w:val="en-US" w:eastAsia="zh-CN"/>
            </w:rPr>
            <w:t>要求</w:t>
          </w:r>
          <w:r>
            <w:tab/>
          </w:r>
          <w:r>
            <w:fldChar w:fldCharType="begin"/>
          </w:r>
          <w:r>
            <w:instrText xml:space="preserve"> PAGEREF _Toc26138 \h </w:instrText>
          </w:r>
          <w:r>
            <w:fldChar w:fldCharType="separate"/>
          </w:r>
          <w:r>
            <w:t>17</w:t>
          </w:r>
          <w:r>
            <w:fldChar w:fldCharType="end"/>
          </w:r>
          <w:r>
            <w:fldChar w:fldCharType="end"/>
          </w:r>
        </w:p>
        <w:p w14:paraId="4EE4E056">
          <w:pPr>
            <w:pStyle w:val="12"/>
            <w:tabs>
              <w:tab w:val="right" w:leader="dot" w:pos="8336"/>
            </w:tabs>
          </w:pPr>
          <w:r>
            <w:fldChar w:fldCharType="begin"/>
          </w:r>
          <w:r>
            <w:instrText xml:space="preserve"> HYPERLINK \l _Toc14434 </w:instrText>
          </w:r>
          <w:r>
            <w:fldChar w:fldCharType="separate"/>
          </w:r>
          <w:r>
            <w:rPr>
              <w:rFonts w:ascii="Times New Roman" w:hAnsi="Times New Roman" w:eastAsia="Times New Roman" w:cs="Times New Roman"/>
              <w:bCs/>
              <w:spacing w:val="-3"/>
              <w:szCs w:val="30"/>
            </w:rPr>
            <w:t xml:space="preserve">4   </w:t>
          </w:r>
          <w:r>
            <w:rPr>
              <w:rFonts w:hint="eastAsia" w:ascii="宋体" w:hAnsi="宋体" w:eastAsia="宋体" w:cs="宋体"/>
              <w:bCs/>
              <w:spacing w:val="-3"/>
              <w:szCs w:val="30"/>
            </w:rPr>
            <w:t xml:space="preserve"> 施工管理</w:t>
          </w:r>
          <w:r>
            <w:tab/>
          </w:r>
          <w:r>
            <w:fldChar w:fldCharType="begin"/>
          </w:r>
          <w:r>
            <w:instrText xml:space="preserve"> PAGEREF _Toc14434 \h </w:instrText>
          </w:r>
          <w:r>
            <w:fldChar w:fldCharType="separate"/>
          </w:r>
          <w:r>
            <w:t>17</w:t>
          </w:r>
          <w:r>
            <w:fldChar w:fldCharType="end"/>
          </w:r>
          <w:r>
            <w:fldChar w:fldCharType="end"/>
          </w:r>
        </w:p>
        <w:p w14:paraId="6BC646E9">
          <w:pPr>
            <w:pStyle w:val="13"/>
            <w:tabs>
              <w:tab w:val="right" w:leader="dot" w:pos="8336"/>
            </w:tabs>
          </w:pPr>
          <w:r>
            <w:fldChar w:fldCharType="begin"/>
          </w:r>
          <w:r>
            <w:instrText xml:space="preserve"> HYPERLINK \l _Toc1971 </w:instrText>
          </w:r>
          <w:r>
            <w:fldChar w:fldCharType="separate"/>
          </w:r>
          <w:r>
            <w:rPr>
              <w:rFonts w:ascii="黑体" w:hAnsi="黑体" w:eastAsia="黑体" w:cs="黑体"/>
              <w:bCs/>
              <w:spacing w:val="-5"/>
              <w:szCs w:val="24"/>
            </w:rPr>
            <w:t>4.1</w:t>
          </w:r>
          <w:r>
            <w:rPr>
              <w:rFonts w:ascii="黑体" w:hAnsi="黑体" w:eastAsia="黑体" w:cs="黑体"/>
              <w:spacing w:val="109"/>
              <w:szCs w:val="24"/>
            </w:rPr>
            <w:t xml:space="preserve"> </w:t>
          </w:r>
          <w:r>
            <w:rPr>
              <w:rFonts w:hint="eastAsia" w:ascii="黑体" w:hAnsi="黑体" w:eastAsia="黑体" w:cs="黑体"/>
              <w:bCs/>
              <w:spacing w:val="-5"/>
              <w:szCs w:val="28"/>
              <w:lang w:val="en-US" w:eastAsia="zh-CN"/>
            </w:rPr>
            <w:t>施工前期管理</w:t>
          </w:r>
          <w:r>
            <w:tab/>
          </w:r>
          <w:r>
            <w:fldChar w:fldCharType="begin"/>
          </w:r>
          <w:r>
            <w:instrText xml:space="preserve"> PAGEREF _Toc1971 \h </w:instrText>
          </w:r>
          <w:r>
            <w:fldChar w:fldCharType="separate"/>
          </w:r>
          <w:r>
            <w:t>17</w:t>
          </w:r>
          <w:r>
            <w:fldChar w:fldCharType="end"/>
          </w:r>
          <w:r>
            <w:fldChar w:fldCharType="end"/>
          </w:r>
        </w:p>
        <w:p w14:paraId="73AC567E">
          <w:pPr>
            <w:pStyle w:val="13"/>
            <w:tabs>
              <w:tab w:val="right" w:leader="dot" w:pos="8336"/>
            </w:tabs>
          </w:pPr>
          <w:r>
            <w:fldChar w:fldCharType="begin"/>
          </w:r>
          <w:r>
            <w:instrText xml:space="preserve"> HYPERLINK \l _Toc27124 </w:instrText>
          </w:r>
          <w:r>
            <w:fldChar w:fldCharType="separate"/>
          </w:r>
          <w:r>
            <w:rPr>
              <w:rFonts w:ascii="黑体" w:hAnsi="黑体" w:eastAsia="黑体" w:cs="黑体"/>
              <w:bCs/>
              <w:spacing w:val="-5"/>
              <w:szCs w:val="24"/>
            </w:rPr>
            <w:t xml:space="preserve">4.2   </w:t>
          </w:r>
          <w:r>
            <w:rPr>
              <w:rFonts w:hint="eastAsia" w:ascii="黑体" w:hAnsi="黑体" w:eastAsia="黑体" w:cs="黑体"/>
              <w:bCs/>
              <w:spacing w:val="-5"/>
              <w:szCs w:val="24"/>
            </w:rPr>
            <w:t>施工过程管理</w:t>
          </w:r>
          <w:r>
            <w:tab/>
          </w:r>
          <w:r>
            <w:fldChar w:fldCharType="begin"/>
          </w:r>
          <w:r>
            <w:instrText xml:space="preserve"> PAGEREF _Toc27124 \h </w:instrText>
          </w:r>
          <w:r>
            <w:fldChar w:fldCharType="separate"/>
          </w:r>
          <w:r>
            <w:t>18</w:t>
          </w:r>
          <w:r>
            <w:fldChar w:fldCharType="end"/>
          </w:r>
          <w:r>
            <w:fldChar w:fldCharType="end"/>
          </w:r>
        </w:p>
        <w:p w14:paraId="3C3C57DF">
          <w:pPr>
            <w:pStyle w:val="13"/>
            <w:tabs>
              <w:tab w:val="right" w:leader="dot" w:pos="8336"/>
            </w:tabs>
          </w:pPr>
          <w:r>
            <w:fldChar w:fldCharType="begin"/>
          </w:r>
          <w:r>
            <w:instrText xml:space="preserve"> HYPERLINK \l _Toc10883 </w:instrText>
          </w:r>
          <w:r>
            <w:fldChar w:fldCharType="separate"/>
          </w:r>
          <w:r>
            <w:rPr>
              <w:rFonts w:ascii="黑体" w:hAnsi="黑体" w:eastAsia="黑体" w:cs="黑体"/>
              <w:bCs/>
              <w:spacing w:val="-5"/>
              <w:szCs w:val="24"/>
            </w:rPr>
            <w:t xml:space="preserve">4.3   </w:t>
          </w:r>
          <w:r>
            <w:rPr>
              <w:rFonts w:hint="eastAsia" w:ascii="黑体" w:hAnsi="黑体" w:eastAsia="黑体" w:cs="黑体"/>
              <w:bCs/>
              <w:spacing w:val="-5"/>
              <w:szCs w:val="24"/>
            </w:rPr>
            <w:t>施工后期</w:t>
          </w:r>
          <w:r>
            <w:rPr>
              <w:rFonts w:ascii="黑体" w:hAnsi="黑体" w:eastAsia="黑体" w:cs="黑体"/>
              <w:bCs/>
              <w:spacing w:val="-5"/>
              <w:szCs w:val="24"/>
            </w:rPr>
            <w:t>管理</w:t>
          </w:r>
          <w:r>
            <w:tab/>
          </w:r>
          <w:r>
            <w:fldChar w:fldCharType="begin"/>
          </w:r>
          <w:r>
            <w:instrText xml:space="preserve"> PAGEREF _Toc10883 \h </w:instrText>
          </w:r>
          <w:r>
            <w:fldChar w:fldCharType="separate"/>
          </w:r>
          <w:r>
            <w:t>20</w:t>
          </w:r>
          <w:r>
            <w:fldChar w:fldCharType="end"/>
          </w:r>
          <w:r>
            <w:fldChar w:fldCharType="end"/>
          </w:r>
        </w:p>
        <w:p w14:paraId="27D1FD8A">
          <w:pPr>
            <w:pStyle w:val="12"/>
            <w:tabs>
              <w:tab w:val="right" w:leader="dot" w:pos="8336"/>
            </w:tabs>
          </w:pPr>
          <w:r>
            <w:fldChar w:fldCharType="begin"/>
          </w:r>
          <w:r>
            <w:instrText xml:space="preserve"> HYPERLINK \l _Toc27411 </w:instrText>
          </w:r>
          <w:r>
            <w:fldChar w:fldCharType="separate"/>
          </w:r>
          <w:r>
            <w:rPr>
              <w:rFonts w:hint="eastAsia" w:ascii="Times New Roman" w:hAnsi="Times New Roman" w:eastAsia="Times New Roman" w:cs="Times New Roman"/>
              <w:bCs/>
              <w:spacing w:val="-3"/>
              <w:szCs w:val="30"/>
            </w:rPr>
            <w:t>5</w:t>
          </w:r>
          <w:r>
            <w:rPr>
              <w:rFonts w:ascii="Times New Roman" w:hAnsi="Times New Roman" w:eastAsia="Times New Roman" w:cs="Times New Roman"/>
              <w:bCs/>
              <w:spacing w:val="-3"/>
              <w:szCs w:val="30"/>
            </w:rPr>
            <w:t xml:space="preserve">   </w:t>
          </w:r>
          <w:r>
            <w:rPr>
              <w:rFonts w:hint="eastAsia" w:ascii="宋体" w:hAnsi="宋体" w:eastAsia="宋体" w:cs="宋体"/>
              <w:bCs/>
              <w:spacing w:val="-3"/>
              <w:szCs w:val="30"/>
            </w:rPr>
            <w:t xml:space="preserve"> 施工技术</w:t>
          </w:r>
          <w:r>
            <w:tab/>
          </w:r>
          <w:r>
            <w:fldChar w:fldCharType="begin"/>
          </w:r>
          <w:r>
            <w:instrText xml:space="preserve"> PAGEREF _Toc27411 \h </w:instrText>
          </w:r>
          <w:r>
            <w:fldChar w:fldCharType="separate"/>
          </w:r>
          <w:r>
            <w:t>21</w:t>
          </w:r>
          <w:r>
            <w:fldChar w:fldCharType="end"/>
          </w:r>
          <w:r>
            <w:fldChar w:fldCharType="end"/>
          </w:r>
        </w:p>
        <w:p w14:paraId="2F52193A">
          <w:pPr>
            <w:pStyle w:val="13"/>
            <w:tabs>
              <w:tab w:val="right" w:leader="dot" w:pos="8336"/>
            </w:tabs>
          </w:pPr>
          <w:r>
            <w:fldChar w:fldCharType="begin"/>
          </w:r>
          <w:r>
            <w:instrText xml:space="preserve"> HYPERLINK \l _Toc14871 </w:instrText>
          </w:r>
          <w:r>
            <w:fldChar w:fldCharType="separate"/>
          </w:r>
          <w:r>
            <w:rPr>
              <w:rFonts w:ascii="黑体" w:hAnsi="黑体" w:eastAsia="黑体" w:cs="黑体"/>
              <w:bCs/>
              <w:spacing w:val="-3"/>
              <w:szCs w:val="24"/>
            </w:rPr>
            <w:t>5.</w:t>
          </w:r>
          <w:r>
            <w:rPr>
              <w:rFonts w:hint="eastAsia" w:ascii="黑体" w:hAnsi="黑体" w:eastAsia="黑体" w:cs="黑体"/>
              <w:bCs/>
              <w:spacing w:val="-3"/>
              <w:szCs w:val="24"/>
            </w:rPr>
            <w:t>1</w:t>
          </w:r>
          <w:r>
            <w:rPr>
              <w:rFonts w:hint="eastAsia" w:ascii="黑体" w:hAnsi="黑体" w:eastAsia="黑体" w:cs="黑体"/>
              <w:bCs/>
              <w:spacing w:val="-3"/>
              <w:szCs w:val="28"/>
              <w:lang w:val="en-US" w:eastAsia="zh-CN"/>
            </w:rPr>
            <w:t xml:space="preserve"> 一般规定</w:t>
          </w:r>
          <w:r>
            <w:tab/>
          </w:r>
          <w:r>
            <w:fldChar w:fldCharType="begin"/>
          </w:r>
          <w:r>
            <w:instrText xml:space="preserve"> PAGEREF _Toc14871 \h </w:instrText>
          </w:r>
          <w:r>
            <w:fldChar w:fldCharType="separate"/>
          </w:r>
          <w:r>
            <w:t>21</w:t>
          </w:r>
          <w:r>
            <w:fldChar w:fldCharType="end"/>
          </w:r>
          <w:r>
            <w:fldChar w:fldCharType="end"/>
          </w:r>
        </w:p>
        <w:p w14:paraId="6F64BABD">
          <w:pPr>
            <w:pStyle w:val="13"/>
            <w:tabs>
              <w:tab w:val="right" w:leader="dot" w:pos="8336"/>
            </w:tabs>
          </w:pPr>
          <w:r>
            <w:fldChar w:fldCharType="begin"/>
          </w:r>
          <w:r>
            <w:instrText xml:space="preserve"> HYPERLINK \l _Toc5281 </w:instrText>
          </w:r>
          <w:r>
            <w:fldChar w:fldCharType="separate"/>
          </w:r>
          <w:r>
            <w:rPr>
              <w:rFonts w:ascii="黑体" w:hAnsi="黑体" w:eastAsia="黑体" w:cs="黑体"/>
              <w:bCs/>
              <w:spacing w:val="-3"/>
              <w:szCs w:val="24"/>
            </w:rPr>
            <w:t>5.2 施工准备与临时工程</w:t>
          </w:r>
          <w:r>
            <w:tab/>
          </w:r>
          <w:r>
            <w:fldChar w:fldCharType="begin"/>
          </w:r>
          <w:r>
            <w:instrText xml:space="preserve"> PAGEREF _Toc5281 \h </w:instrText>
          </w:r>
          <w:r>
            <w:fldChar w:fldCharType="separate"/>
          </w:r>
          <w:r>
            <w:t>22</w:t>
          </w:r>
          <w:r>
            <w:fldChar w:fldCharType="end"/>
          </w:r>
          <w:r>
            <w:fldChar w:fldCharType="end"/>
          </w:r>
        </w:p>
        <w:p w14:paraId="3D065777">
          <w:pPr>
            <w:pStyle w:val="13"/>
            <w:tabs>
              <w:tab w:val="right" w:leader="dot" w:pos="8336"/>
            </w:tabs>
          </w:pPr>
          <w:r>
            <w:fldChar w:fldCharType="begin"/>
          </w:r>
          <w:r>
            <w:instrText xml:space="preserve"> HYPERLINK \l _Toc300 </w:instrText>
          </w:r>
          <w:r>
            <w:fldChar w:fldCharType="separate"/>
          </w:r>
          <w:r>
            <w:rPr>
              <w:rFonts w:hint="eastAsia" w:ascii="黑体" w:hAnsi="黑体" w:eastAsia="黑体" w:cs="黑体"/>
              <w:bCs/>
              <w:spacing w:val="-3"/>
              <w:szCs w:val="24"/>
            </w:rPr>
            <w:t>5.3</w:t>
          </w:r>
          <w:r>
            <w:rPr>
              <w:rFonts w:hint="eastAsia" w:ascii="黑体" w:hAnsi="黑体" w:eastAsia="黑体" w:cs="黑体"/>
              <w:bCs/>
              <w:spacing w:val="-3"/>
              <w:szCs w:val="28"/>
              <w:lang w:val="en-US" w:eastAsia="zh-CN"/>
            </w:rPr>
            <w:t xml:space="preserve"> 地基与基础工程</w:t>
          </w:r>
          <w:r>
            <w:tab/>
          </w:r>
          <w:r>
            <w:fldChar w:fldCharType="begin"/>
          </w:r>
          <w:r>
            <w:instrText xml:space="preserve"> PAGEREF _Toc300 \h </w:instrText>
          </w:r>
          <w:r>
            <w:fldChar w:fldCharType="separate"/>
          </w:r>
          <w:r>
            <w:t>24</w:t>
          </w:r>
          <w:r>
            <w:fldChar w:fldCharType="end"/>
          </w:r>
          <w:r>
            <w:fldChar w:fldCharType="end"/>
          </w:r>
        </w:p>
        <w:p w14:paraId="32CBBD72">
          <w:pPr>
            <w:pStyle w:val="13"/>
            <w:tabs>
              <w:tab w:val="right" w:leader="dot" w:pos="8336"/>
            </w:tabs>
          </w:pPr>
          <w:r>
            <w:fldChar w:fldCharType="begin"/>
          </w:r>
          <w:r>
            <w:instrText xml:space="preserve"> HYPERLINK \l _Toc3653 </w:instrText>
          </w:r>
          <w:r>
            <w:fldChar w:fldCharType="separate"/>
          </w:r>
          <w:r>
            <w:rPr>
              <w:rFonts w:ascii="黑体" w:hAnsi="黑体" w:eastAsia="黑体" w:cs="黑体"/>
              <w:bCs/>
              <w:spacing w:val="-3"/>
              <w:szCs w:val="24"/>
            </w:rPr>
            <w:t>5.4 主体结构工程</w:t>
          </w:r>
          <w:r>
            <w:tab/>
          </w:r>
          <w:r>
            <w:fldChar w:fldCharType="begin"/>
          </w:r>
          <w:r>
            <w:instrText xml:space="preserve"> PAGEREF _Toc3653 \h </w:instrText>
          </w:r>
          <w:r>
            <w:fldChar w:fldCharType="separate"/>
          </w:r>
          <w:r>
            <w:t>27</w:t>
          </w:r>
          <w:r>
            <w:fldChar w:fldCharType="end"/>
          </w:r>
          <w:r>
            <w:fldChar w:fldCharType="end"/>
          </w:r>
        </w:p>
        <w:p w14:paraId="37A6C4A1">
          <w:pPr>
            <w:pStyle w:val="13"/>
            <w:tabs>
              <w:tab w:val="right" w:leader="dot" w:pos="8336"/>
            </w:tabs>
          </w:pPr>
          <w:r>
            <w:fldChar w:fldCharType="begin"/>
          </w:r>
          <w:r>
            <w:instrText xml:space="preserve"> HYPERLINK \l _Toc22850 </w:instrText>
          </w:r>
          <w:r>
            <w:fldChar w:fldCharType="separate"/>
          </w:r>
          <w:r>
            <w:rPr>
              <w:rFonts w:hint="eastAsia" w:ascii="黑体" w:hAnsi="黑体" w:eastAsia="黑体" w:cs="黑体"/>
              <w:bCs/>
              <w:spacing w:val="-3"/>
              <w:szCs w:val="24"/>
              <w:lang w:eastAsia="zh-CN"/>
            </w:rPr>
            <w:t>5.5</w:t>
          </w:r>
          <w:r>
            <w:rPr>
              <w:rFonts w:ascii="黑体" w:hAnsi="黑体" w:eastAsia="黑体" w:cs="黑体"/>
              <w:spacing w:val="104"/>
              <w:szCs w:val="24"/>
            </w:rPr>
            <w:t xml:space="preserve"> </w:t>
          </w:r>
          <w:r>
            <w:rPr>
              <w:rFonts w:hint="eastAsia" w:ascii="黑体" w:hAnsi="黑体" w:eastAsia="黑体" w:cs="黑体"/>
              <w:bCs/>
              <w:spacing w:val="-3"/>
              <w:szCs w:val="28"/>
              <w:lang w:val="en-US" w:eastAsia="zh-CN"/>
            </w:rPr>
            <w:t>围护结构工程</w:t>
          </w:r>
          <w:r>
            <w:tab/>
          </w:r>
          <w:r>
            <w:fldChar w:fldCharType="begin"/>
          </w:r>
          <w:r>
            <w:instrText xml:space="preserve"> PAGEREF _Toc22850 \h </w:instrText>
          </w:r>
          <w:r>
            <w:fldChar w:fldCharType="separate"/>
          </w:r>
          <w:r>
            <w:t>29</w:t>
          </w:r>
          <w:r>
            <w:fldChar w:fldCharType="end"/>
          </w:r>
          <w:r>
            <w:fldChar w:fldCharType="end"/>
          </w:r>
        </w:p>
        <w:p w14:paraId="28076546">
          <w:pPr>
            <w:pStyle w:val="13"/>
            <w:tabs>
              <w:tab w:val="right" w:leader="dot" w:pos="8336"/>
            </w:tabs>
          </w:pPr>
          <w:r>
            <w:fldChar w:fldCharType="begin"/>
          </w:r>
          <w:r>
            <w:instrText xml:space="preserve"> HYPERLINK \l _Toc8738 </w:instrText>
          </w:r>
          <w:r>
            <w:fldChar w:fldCharType="separate"/>
          </w:r>
          <w:r>
            <w:rPr>
              <w:rFonts w:hint="eastAsia" w:ascii="黑体" w:hAnsi="黑体" w:eastAsia="黑体" w:cs="黑体"/>
              <w:bCs/>
              <w:spacing w:val="-3"/>
              <w:szCs w:val="24"/>
              <w:lang w:eastAsia="zh-CN"/>
            </w:rPr>
            <w:t>5.6</w:t>
          </w:r>
          <w:r>
            <w:rPr>
              <w:rFonts w:ascii="黑体" w:hAnsi="黑体" w:eastAsia="黑体" w:cs="黑体"/>
              <w:spacing w:val="104"/>
              <w:szCs w:val="24"/>
            </w:rPr>
            <w:t xml:space="preserve"> </w:t>
          </w:r>
          <w:r>
            <w:rPr>
              <w:rFonts w:hint="eastAsia" w:ascii="黑体" w:hAnsi="黑体" w:eastAsia="黑体" w:cs="黑体"/>
              <w:bCs/>
              <w:spacing w:val="-3"/>
              <w:szCs w:val="28"/>
              <w:lang w:val="en-US" w:eastAsia="zh-CN"/>
            </w:rPr>
            <w:t>装饰装修工程</w:t>
          </w:r>
          <w:r>
            <w:tab/>
          </w:r>
          <w:r>
            <w:fldChar w:fldCharType="begin"/>
          </w:r>
          <w:r>
            <w:instrText xml:space="preserve"> PAGEREF _Toc8738 \h </w:instrText>
          </w:r>
          <w:r>
            <w:fldChar w:fldCharType="separate"/>
          </w:r>
          <w:r>
            <w:t>31</w:t>
          </w:r>
          <w:r>
            <w:fldChar w:fldCharType="end"/>
          </w:r>
          <w:r>
            <w:fldChar w:fldCharType="end"/>
          </w:r>
        </w:p>
        <w:p w14:paraId="6216B0EC">
          <w:pPr>
            <w:pStyle w:val="13"/>
            <w:tabs>
              <w:tab w:val="right" w:leader="dot" w:pos="8336"/>
            </w:tabs>
          </w:pPr>
          <w:r>
            <w:fldChar w:fldCharType="begin"/>
          </w:r>
          <w:r>
            <w:instrText xml:space="preserve"> HYPERLINK \l _Toc2028 </w:instrText>
          </w:r>
          <w:r>
            <w:fldChar w:fldCharType="separate"/>
          </w:r>
          <w:r>
            <w:rPr>
              <w:rFonts w:hint="eastAsia" w:ascii="黑体" w:hAnsi="黑体" w:eastAsia="黑体" w:cs="黑体"/>
              <w:bCs/>
              <w:spacing w:val="-3"/>
              <w:szCs w:val="24"/>
              <w:lang w:eastAsia="zh-CN"/>
            </w:rPr>
            <w:t>5.7</w:t>
          </w:r>
          <w:r>
            <w:rPr>
              <w:rFonts w:ascii="黑体" w:hAnsi="黑体" w:eastAsia="黑体" w:cs="黑体"/>
              <w:spacing w:val="104"/>
              <w:szCs w:val="24"/>
            </w:rPr>
            <w:t xml:space="preserve"> </w:t>
          </w:r>
          <w:r>
            <w:rPr>
              <w:rFonts w:hint="eastAsia" w:ascii="黑体" w:hAnsi="黑体" w:eastAsia="黑体" w:cs="黑体"/>
              <w:bCs/>
              <w:spacing w:val="-3"/>
              <w:szCs w:val="28"/>
              <w:lang w:val="en-US" w:eastAsia="zh-CN"/>
            </w:rPr>
            <w:t>机电安装工程</w:t>
          </w:r>
          <w:r>
            <w:tab/>
          </w:r>
          <w:r>
            <w:fldChar w:fldCharType="begin"/>
          </w:r>
          <w:r>
            <w:instrText xml:space="preserve"> PAGEREF _Toc2028 \h </w:instrText>
          </w:r>
          <w:r>
            <w:fldChar w:fldCharType="separate"/>
          </w:r>
          <w:r>
            <w:t>33</w:t>
          </w:r>
          <w:r>
            <w:fldChar w:fldCharType="end"/>
          </w:r>
          <w:r>
            <w:fldChar w:fldCharType="end"/>
          </w:r>
        </w:p>
        <w:p w14:paraId="396671A3">
          <w:pPr>
            <w:pStyle w:val="13"/>
            <w:tabs>
              <w:tab w:val="right" w:leader="dot" w:pos="8336"/>
            </w:tabs>
          </w:pPr>
          <w:r>
            <w:fldChar w:fldCharType="begin"/>
          </w:r>
          <w:r>
            <w:instrText xml:space="preserve"> HYPERLINK \l _Toc7035 </w:instrText>
          </w:r>
          <w:r>
            <w:fldChar w:fldCharType="separate"/>
          </w:r>
          <w:r>
            <w:rPr>
              <w:rFonts w:hint="eastAsia" w:ascii="黑体" w:hAnsi="黑体" w:eastAsia="黑体" w:cs="黑体"/>
              <w:bCs/>
              <w:spacing w:val="-3"/>
              <w:szCs w:val="24"/>
              <w:lang w:eastAsia="zh-CN"/>
            </w:rPr>
            <w:t>5.8   拆除工程</w:t>
          </w:r>
          <w:r>
            <w:tab/>
          </w:r>
          <w:r>
            <w:fldChar w:fldCharType="begin"/>
          </w:r>
          <w:r>
            <w:instrText xml:space="preserve"> PAGEREF _Toc7035 \h </w:instrText>
          </w:r>
          <w:r>
            <w:fldChar w:fldCharType="separate"/>
          </w:r>
          <w:r>
            <w:t>37</w:t>
          </w:r>
          <w:r>
            <w:fldChar w:fldCharType="end"/>
          </w:r>
          <w:r>
            <w:fldChar w:fldCharType="end"/>
          </w:r>
        </w:p>
        <w:p w14:paraId="759CF0CB">
          <w:pPr>
            <w:pStyle w:val="12"/>
            <w:tabs>
              <w:tab w:val="right" w:leader="dot" w:pos="8336"/>
            </w:tabs>
          </w:pPr>
          <w:r>
            <w:fldChar w:fldCharType="begin"/>
          </w:r>
          <w:r>
            <w:instrText xml:space="preserve"> HYPERLINK \l _Toc16247 </w:instrText>
          </w:r>
          <w:r>
            <w:fldChar w:fldCharType="separate"/>
          </w:r>
          <w:r>
            <w:rPr>
              <w:rFonts w:hint="eastAsia" w:ascii="Times New Roman" w:hAnsi="Times New Roman" w:eastAsia="宋体" w:cs="Times New Roman"/>
              <w:bCs/>
              <w:spacing w:val="-4"/>
              <w:szCs w:val="30"/>
              <w:lang w:val="en-US" w:eastAsia="zh-CN"/>
            </w:rPr>
            <w:t>6</w:t>
          </w:r>
          <w:r>
            <w:rPr>
              <w:rFonts w:ascii="Times New Roman" w:hAnsi="Times New Roman" w:eastAsia="Times New Roman" w:cs="Times New Roman"/>
              <w:bCs/>
              <w:spacing w:val="-4"/>
              <w:szCs w:val="30"/>
            </w:rPr>
            <w:t xml:space="preserve">    </w:t>
          </w:r>
          <w:r>
            <w:rPr>
              <w:rFonts w:hint="eastAsia" w:ascii="宋体" w:hAnsi="宋体" w:eastAsia="宋体" w:cs="宋体"/>
              <w:bCs/>
              <w:spacing w:val="-4"/>
              <w:szCs w:val="30"/>
            </w:rPr>
            <w:t>供应链管理</w:t>
          </w:r>
          <w:r>
            <w:tab/>
          </w:r>
          <w:r>
            <w:fldChar w:fldCharType="begin"/>
          </w:r>
          <w:r>
            <w:instrText xml:space="preserve"> PAGEREF _Toc16247 \h </w:instrText>
          </w:r>
          <w:r>
            <w:fldChar w:fldCharType="separate"/>
          </w:r>
          <w:r>
            <w:t>38</w:t>
          </w:r>
          <w:r>
            <w:fldChar w:fldCharType="end"/>
          </w:r>
          <w:r>
            <w:fldChar w:fldCharType="end"/>
          </w:r>
        </w:p>
        <w:p w14:paraId="3026A0EF">
          <w:pPr>
            <w:pStyle w:val="13"/>
            <w:tabs>
              <w:tab w:val="right" w:leader="dot" w:pos="8336"/>
            </w:tabs>
          </w:pPr>
          <w:r>
            <w:fldChar w:fldCharType="begin"/>
          </w:r>
          <w:r>
            <w:instrText xml:space="preserve"> HYPERLINK \l _Toc28469 </w:instrText>
          </w:r>
          <w:r>
            <w:fldChar w:fldCharType="separate"/>
          </w:r>
          <w:r>
            <w:rPr>
              <w:rFonts w:hint="eastAsia" w:ascii="黑体" w:hAnsi="黑体" w:eastAsia="黑体" w:cs="黑体"/>
              <w:bCs/>
              <w:spacing w:val="-6"/>
              <w:szCs w:val="24"/>
              <w:lang w:eastAsia="zh-CN"/>
            </w:rPr>
            <w:t>6.1</w:t>
          </w:r>
          <w:r>
            <w:rPr>
              <w:rFonts w:ascii="黑体" w:hAnsi="黑体" w:eastAsia="黑体" w:cs="黑体"/>
              <w:spacing w:val="115"/>
              <w:szCs w:val="24"/>
            </w:rPr>
            <w:t xml:space="preserve"> </w:t>
          </w:r>
          <w:r>
            <w:rPr>
              <w:rFonts w:ascii="黑体" w:hAnsi="黑体" w:eastAsia="黑体" w:cs="黑体"/>
              <w:bCs/>
              <w:spacing w:val="-6"/>
              <w:szCs w:val="28"/>
            </w:rPr>
            <w:t>一般规定</w:t>
          </w:r>
          <w:r>
            <w:tab/>
          </w:r>
          <w:r>
            <w:fldChar w:fldCharType="begin"/>
          </w:r>
          <w:r>
            <w:instrText xml:space="preserve"> PAGEREF _Toc28469 \h </w:instrText>
          </w:r>
          <w:r>
            <w:fldChar w:fldCharType="separate"/>
          </w:r>
          <w:r>
            <w:t>38</w:t>
          </w:r>
          <w:r>
            <w:fldChar w:fldCharType="end"/>
          </w:r>
          <w:r>
            <w:fldChar w:fldCharType="end"/>
          </w:r>
        </w:p>
        <w:p w14:paraId="647F798A">
          <w:pPr>
            <w:pStyle w:val="13"/>
            <w:tabs>
              <w:tab w:val="right" w:leader="dot" w:pos="8336"/>
            </w:tabs>
          </w:pPr>
          <w:r>
            <w:fldChar w:fldCharType="begin"/>
          </w:r>
          <w:r>
            <w:instrText xml:space="preserve"> HYPERLINK \l _Toc9687 </w:instrText>
          </w:r>
          <w:r>
            <w:fldChar w:fldCharType="separate"/>
          </w:r>
          <w:r>
            <w:rPr>
              <w:rFonts w:hint="eastAsia" w:ascii="黑体" w:hAnsi="黑体" w:eastAsia="黑体" w:cs="黑体"/>
              <w:bCs/>
              <w:spacing w:val="-5"/>
              <w:szCs w:val="24"/>
              <w:lang w:eastAsia="zh-CN"/>
            </w:rPr>
            <w:t>6.2</w:t>
          </w:r>
          <w:r>
            <w:rPr>
              <w:rFonts w:ascii="黑体" w:hAnsi="黑体" w:eastAsia="黑体" w:cs="黑体"/>
              <w:spacing w:val="113"/>
              <w:szCs w:val="24"/>
            </w:rPr>
            <w:t xml:space="preserve"> </w:t>
          </w:r>
          <w:r>
            <w:rPr>
              <w:rFonts w:hint="eastAsia" w:ascii="黑体" w:hAnsi="黑体" w:eastAsia="黑体" w:cs="黑体"/>
              <w:bCs/>
              <w:spacing w:val="-5"/>
              <w:szCs w:val="28"/>
            </w:rPr>
            <w:t>材料管理</w:t>
          </w:r>
          <w:r>
            <w:tab/>
          </w:r>
          <w:r>
            <w:fldChar w:fldCharType="begin"/>
          </w:r>
          <w:r>
            <w:instrText xml:space="preserve"> PAGEREF _Toc9687 \h </w:instrText>
          </w:r>
          <w:r>
            <w:fldChar w:fldCharType="separate"/>
          </w:r>
          <w:r>
            <w:t>38</w:t>
          </w:r>
          <w:r>
            <w:fldChar w:fldCharType="end"/>
          </w:r>
          <w:r>
            <w:fldChar w:fldCharType="end"/>
          </w:r>
        </w:p>
        <w:p w14:paraId="7DC5B174">
          <w:pPr>
            <w:pStyle w:val="13"/>
            <w:tabs>
              <w:tab w:val="right" w:leader="dot" w:pos="8336"/>
            </w:tabs>
          </w:pPr>
          <w:r>
            <w:fldChar w:fldCharType="begin"/>
          </w:r>
          <w:r>
            <w:instrText xml:space="preserve"> HYPERLINK \l _Toc9614 </w:instrText>
          </w:r>
          <w:r>
            <w:fldChar w:fldCharType="separate"/>
          </w:r>
          <w:r>
            <w:rPr>
              <w:rFonts w:hint="eastAsia" w:ascii="黑体" w:hAnsi="黑体" w:eastAsia="黑体" w:cs="黑体"/>
              <w:bCs/>
              <w:spacing w:val="-6"/>
              <w:szCs w:val="24"/>
              <w:lang w:eastAsia="zh-CN"/>
            </w:rPr>
            <w:t>6.3</w:t>
          </w:r>
          <w:r>
            <w:rPr>
              <w:rFonts w:ascii="黑体" w:hAnsi="黑体" w:eastAsia="黑体" w:cs="黑体"/>
              <w:spacing w:val="106"/>
              <w:szCs w:val="24"/>
            </w:rPr>
            <w:t xml:space="preserve"> </w:t>
          </w:r>
          <w:r>
            <w:rPr>
              <w:rFonts w:hint="eastAsia" w:ascii="黑体" w:hAnsi="黑体" w:eastAsia="黑体" w:cs="黑体"/>
              <w:bCs/>
              <w:spacing w:val="-6"/>
              <w:szCs w:val="28"/>
            </w:rPr>
            <w:t>供应商</w:t>
          </w:r>
          <w:r>
            <w:rPr>
              <w:rFonts w:ascii="黑体" w:hAnsi="黑体" w:eastAsia="黑体" w:cs="黑体"/>
              <w:bCs/>
              <w:spacing w:val="-6"/>
              <w:szCs w:val="28"/>
            </w:rPr>
            <w:t>管理</w:t>
          </w:r>
          <w:r>
            <w:tab/>
          </w:r>
          <w:r>
            <w:fldChar w:fldCharType="begin"/>
          </w:r>
          <w:r>
            <w:instrText xml:space="preserve"> PAGEREF _Toc9614 \h </w:instrText>
          </w:r>
          <w:r>
            <w:fldChar w:fldCharType="separate"/>
          </w:r>
          <w:r>
            <w:t>40</w:t>
          </w:r>
          <w:r>
            <w:fldChar w:fldCharType="end"/>
          </w:r>
          <w:r>
            <w:fldChar w:fldCharType="end"/>
          </w:r>
        </w:p>
        <w:p w14:paraId="03852CC1">
          <w:pPr>
            <w:pStyle w:val="13"/>
            <w:tabs>
              <w:tab w:val="right" w:leader="dot" w:pos="8336"/>
            </w:tabs>
          </w:pPr>
          <w:r>
            <w:fldChar w:fldCharType="begin"/>
          </w:r>
          <w:r>
            <w:instrText xml:space="preserve"> HYPERLINK \l _Toc7170 </w:instrText>
          </w:r>
          <w:r>
            <w:fldChar w:fldCharType="separate"/>
          </w:r>
          <w:r>
            <w:rPr>
              <w:rFonts w:hint="eastAsia" w:ascii="黑体" w:hAnsi="黑体" w:eastAsia="黑体" w:cs="黑体"/>
              <w:bCs/>
              <w:spacing w:val="-5"/>
              <w:szCs w:val="24"/>
              <w:lang w:eastAsia="zh-CN"/>
            </w:rPr>
            <w:t>6.4</w:t>
          </w:r>
          <w:r>
            <w:rPr>
              <w:rFonts w:ascii="黑体" w:hAnsi="黑体" w:eastAsia="黑体" w:cs="黑体"/>
              <w:spacing w:val="104"/>
              <w:szCs w:val="24"/>
            </w:rPr>
            <w:t xml:space="preserve"> </w:t>
          </w:r>
          <w:r>
            <w:rPr>
              <w:rFonts w:hint="eastAsia" w:ascii="黑体" w:hAnsi="黑体" w:eastAsia="黑体" w:cs="黑体"/>
              <w:bCs/>
              <w:spacing w:val="-5"/>
              <w:szCs w:val="28"/>
            </w:rPr>
            <w:t>运输仓储</w:t>
          </w:r>
          <w:r>
            <w:rPr>
              <w:rFonts w:ascii="黑体" w:hAnsi="黑体" w:eastAsia="黑体" w:cs="黑体"/>
              <w:bCs/>
              <w:spacing w:val="-6"/>
              <w:szCs w:val="28"/>
            </w:rPr>
            <w:t>管理</w:t>
          </w:r>
          <w:r>
            <w:tab/>
          </w:r>
          <w:r>
            <w:fldChar w:fldCharType="begin"/>
          </w:r>
          <w:r>
            <w:instrText xml:space="preserve"> PAGEREF _Toc7170 \h </w:instrText>
          </w:r>
          <w:r>
            <w:fldChar w:fldCharType="separate"/>
          </w:r>
          <w:r>
            <w:t>41</w:t>
          </w:r>
          <w:r>
            <w:fldChar w:fldCharType="end"/>
          </w:r>
          <w:r>
            <w:fldChar w:fldCharType="end"/>
          </w:r>
        </w:p>
        <w:p w14:paraId="1EE16CDC">
          <w:pPr>
            <w:pStyle w:val="12"/>
            <w:tabs>
              <w:tab w:val="right" w:leader="dot" w:pos="8336"/>
            </w:tabs>
          </w:pPr>
          <w:r>
            <w:fldChar w:fldCharType="begin"/>
          </w:r>
          <w:r>
            <w:instrText xml:space="preserve"> HYPERLINK \l _Toc30351 </w:instrText>
          </w:r>
          <w:r>
            <w:fldChar w:fldCharType="separate"/>
          </w:r>
          <w:r>
            <w:rPr>
              <w:rFonts w:hint="eastAsia" w:ascii="Times New Roman" w:hAnsi="Times New Roman" w:eastAsia="宋体" w:cs="Times New Roman"/>
              <w:bCs/>
              <w:spacing w:val="-4"/>
              <w:szCs w:val="30"/>
              <w:lang w:val="en-US" w:eastAsia="zh-CN"/>
            </w:rPr>
            <w:t>7</w:t>
          </w:r>
          <w:r>
            <w:rPr>
              <w:rFonts w:ascii="Times New Roman" w:hAnsi="Times New Roman" w:eastAsia="Times New Roman" w:cs="Times New Roman"/>
              <w:bCs/>
              <w:spacing w:val="-4"/>
              <w:szCs w:val="30"/>
            </w:rPr>
            <w:t xml:space="preserve">    </w:t>
          </w:r>
          <w:r>
            <w:rPr>
              <w:rFonts w:hint="eastAsia" w:ascii="宋体" w:hAnsi="宋体" w:eastAsia="宋体" w:cs="宋体"/>
              <w:bCs/>
              <w:spacing w:val="-4"/>
              <w:szCs w:val="30"/>
            </w:rPr>
            <w:t>低碳建造评估</w:t>
          </w:r>
          <w:r>
            <w:tab/>
          </w:r>
          <w:r>
            <w:fldChar w:fldCharType="begin"/>
          </w:r>
          <w:r>
            <w:instrText xml:space="preserve"> PAGEREF _Toc30351 \h </w:instrText>
          </w:r>
          <w:r>
            <w:fldChar w:fldCharType="separate"/>
          </w:r>
          <w:r>
            <w:t>42</w:t>
          </w:r>
          <w:r>
            <w:fldChar w:fldCharType="end"/>
          </w:r>
          <w:r>
            <w:fldChar w:fldCharType="end"/>
          </w:r>
        </w:p>
        <w:p w14:paraId="35673B96">
          <w:pPr>
            <w:pStyle w:val="13"/>
            <w:tabs>
              <w:tab w:val="right" w:leader="dot" w:pos="8336"/>
            </w:tabs>
          </w:pPr>
          <w:r>
            <w:fldChar w:fldCharType="begin"/>
          </w:r>
          <w:r>
            <w:instrText xml:space="preserve"> HYPERLINK \l _Toc4382 </w:instrText>
          </w:r>
          <w:r>
            <w:fldChar w:fldCharType="separate"/>
          </w:r>
          <w:r>
            <w:rPr>
              <w:rFonts w:hint="eastAsia" w:ascii="黑体" w:hAnsi="黑体" w:eastAsia="黑体" w:cs="黑体"/>
              <w:bCs/>
              <w:spacing w:val="-6"/>
              <w:szCs w:val="24"/>
              <w:lang w:val="en-US" w:eastAsia="zh-CN"/>
            </w:rPr>
            <w:t>7.1</w:t>
          </w:r>
          <w:r>
            <w:rPr>
              <w:rFonts w:ascii="黑体" w:hAnsi="黑体" w:eastAsia="黑体" w:cs="黑体"/>
              <w:spacing w:val="115"/>
              <w:szCs w:val="24"/>
            </w:rPr>
            <w:t xml:space="preserve"> </w:t>
          </w:r>
          <w:r>
            <w:rPr>
              <w:rFonts w:hint="eastAsia" w:ascii="黑体" w:hAnsi="黑体" w:eastAsia="黑体" w:cs="黑体"/>
              <w:spacing w:val="-6"/>
              <w:szCs w:val="28"/>
            </w:rPr>
            <w:t>评估流程</w:t>
          </w:r>
          <w:r>
            <w:tab/>
          </w:r>
          <w:r>
            <w:fldChar w:fldCharType="begin"/>
          </w:r>
          <w:r>
            <w:instrText xml:space="preserve"> PAGEREF _Toc4382 \h </w:instrText>
          </w:r>
          <w:r>
            <w:fldChar w:fldCharType="separate"/>
          </w:r>
          <w:r>
            <w:t>42</w:t>
          </w:r>
          <w:r>
            <w:fldChar w:fldCharType="end"/>
          </w:r>
          <w:r>
            <w:fldChar w:fldCharType="end"/>
          </w:r>
        </w:p>
        <w:p w14:paraId="6A76BC21">
          <w:pPr>
            <w:pStyle w:val="13"/>
            <w:tabs>
              <w:tab w:val="right" w:leader="dot" w:pos="8336"/>
            </w:tabs>
          </w:pPr>
          <w:r>
            <w:fldChar w:fldCharType="begin"/>
          </w:r>
          <w:r>
            <w:instrText xml:space="preserve"> HYPERLINK \l _Toc22269 </w:instrText>
          </w:r>
          <w:r>
            <w:fldChar w:fldCharType="separate"/>
          </w:r>
          <w:r>
            <w:rPr>
              <w:rFonts w:hint="eastAsia" w:ascii="黑体" w:hAnsi="黑体" w:eastAsia="黑体" w:cs="黑体"/>
              <w:bCs/>
              <w:spacing w:val="-5"/>
              <w:szCs w:val="24"/>
              <w:lang w:val="en-US" w:eastAsia="zh-CN"/>
            </w:rPr>
            <w:t>7.2</w:t>
          </w:r>
          <w:r>
            <w:rPr>
              <w:rFonts w:ascii="黑体" w:hAnsi="黑体" w:eastAsia="黑体" w:cs="黑体"/>
              <w:spacing w:val="113"/>
              <w:szCs w:val="24"/>
            </w:rPr>
            <w:t xml:space="preserve"> </w:t>
          </w:r>
          <w:r>
            <w:rPr>
              <w:rFonts w:hint="eastAsia" w:ascii="黑体" w:hAnsi="黑体" w:eastAsia="黑体" w:cs="黑体"/>
              <w:spacing w:val="-6"/>
              <w:szCs w:val="28"/>
            </w:rPr>
            <w:t>碳排放范围</w:t>
          </w:r>
          <w:r>
            <w:tab/>
          </w:r>
          <w:r>
            <w:fldChar w:fldCharType="begin"/>
          </w:r>
          <w:r>
            <w:instrText xml:space="preserve"> PAGEREF _Toc22269 \h </w:instrText>
          </w:r>
          <w:r>
            <w:fldChar w:fldCharType="separate"/>
          </w:r>
          <w:r>
            <w:t>43</w:t>
          </w:r>
          <w:r>
            <w:fldChar w:fldCharType="end"/>
          </w:r>
          <w:r>
            <w:fldChar w:fldCharType="end"/>
          </w:r>
        </w:p>
        <w:p w14:paraId="697CC563">
          <w:pPr>
            <w:pStyle w:val="13"/>
            <w:tabs>
              <w:tab w:val="right" w:leader="dot" w:pos="8336"/>
            </w:tabs>
          </w:pPr>
          <w:r>
            <w:fldChar w:fldCharType="begin"/>
          </w:r>
          <w:r>
            <w:instrText xml:space="preserve"> HYPERLINK \l _Toc18481 </w:instrText>
          </w:r>
          <w:r>
            <w:fldChar w:fldCharType="separate"/>
          </w:r>
          <w:r>
            <w:rPr>
              <w:rFonts w:hint="eastAsia" w:ascii="黑体" w:hAnsi="黑体" w:eastAsia="黑体" w:cs="黑体"/>
              <w:bCs/>
              <w:spacing w:val="-5"/>
              <w:szCs w:val="24"/>
              <w:lang w:val="en-US" w:eastAsia="zh-CN"/>
            </w:rPr>
            <w:t>7.</w:t>
          </w:r>
          <w:r>
            <w:rPr>
              <w:rFonts w:hint="default" w:ascii="黑体" w:hAnsi="黑体" w:eastAsia="黑体" w:cs="黑体"/>
              <w:bCs/>
              <w:spacing w:val="-5"/>
              <w:szCs w:val="24"/>
              <w:lang w:eastAsia="zh-CN"/>
            </w:rPr>
            <w:t>3</w:t>
          </w:r>
          <w:r>
            <w:rPr>
              <w:rFonts w:ascii="黑体" w:hAnsi="黑体" w:eastAsia="黑体" w:cs="黑体"/>
              <w:spacing w:val="113"/>
              <w:szCs w:val="24"/>
            </w:rPr>
            <w:t xml:space="preserve"> </w:t>
          </w:r>
          <w:r>
            <w:rPr>
              <w:rFonts w:hint="eastAsia" w:ascii="黑体" w:hAnsi="黑体" w:eastAsia="黑体" w:cs="黑体"/>
              <w:spacing w:val="-6"/>
              <w:szCs w:val="28"/>
            </w:rPr>
            <w:t>碳排放计算</w:t>
          </w:r>
          <w:r>
            <w:tab/>
          </w:r>
          <w:r>
            <w:fldChar w:fldCharType="begin"/>
          </w:r>
          <w:r>
            <w:instrText xml:space="preserve"> PAGEREF _Toc18481 \h </w:instrText>
          </w:r>
          <w:r>
            <w:fldChar w:fldCharType="separate"/>
          </w:r>
          <w:r>
            <w:t>44</w:t>
          </w:r>
          <w:r>
            <w:fldChar w:fldCharType="end"/>
          </w:r>
          <w:r>
            <w:fldChar w:fldCharType="end"/>
          </w:r>
        </w:p>
        <w:p w14:paraId="6149AADA">
          <w:pPr>
            <w:pStyle w:val="13"/>
            <w:tabs>
              <w:tab w:val="right" w:leader="dot" w:pos="8336"/>
            </w:tabs>
          </w:pPr>
          <w:r>
            <w:fldChar w:fldCharType="begin"/>
          </w:r>
          <w:r>
            <w:instrText xml:space="preserve"> HYPERLINK \l _Toc25040 </w:instrText>
          </w:r>
          <w:r>
            <w:fldChar w:fldCharType="separate"/>
          </w:r>
          <w:r>
            <w:rPr>
              <w:rFonts w:hint="eastAsia" w:ascii="黑体" w:hAnsi="黑体" w:eastAsia="黑体" w:cs="黑体"/>
              <w:bCs/>
              <w:spacing w:val="-5"/>
              <w:szCs w:val="24"/>
              <w:lang w:val="en-US" w:eastAsia="zh-CN"/>
            </w:rPr>
            <w:t>7.</w:t>
          </w:r>
          <w:r>
            <w:rPr>
              <w:rFonts w:hint="default" w:ascii="黑体" w:hAnsi="黑体" w:eastAsia="黑体" w:cs="黑体"/>
              <w:bCs/>
              <w:spacing w:val="-5"/>
              <w:szCs w:val="24"/>
              <w:lang w:eastAsia="zh-CN"/>
            </w:rPr>
            <w:t>4</w:t>
          </w:r>
          <w:r>
            <w:rPr>
              <w:rFonts w:ascii="黑体" w:hAnsi="黑体" w:eastAsia="黑体" w:cs="黑体"/>
              <w:spacing w:val="113"/>
              <w:szCs w:val="24"/>
            </w:rPr>
            <w:t xml:space="preserve"> </w:t>
          </w:r>
          <w:r>
            <w:rPr>
              <w:rFonts w:hint="eastAsia" w:ascii="黑体" w:hAnsi="黑体" w:eastAsia="黑体" w:cs="黑体"/>
              <w:bCs/>
              <w:spacing w:val="-5"/>
              <w:szCs w:val="28"/>
            </w:rPr>
            <w:t>评估指标</w:t>
          </w:r>
          <w:r>
            <w:tab/>
          </w:r>
          <w:r>
            <w:fldChar w:fldCharType="begin"/>
          </w:r>
          <w:r>
            <w:instrText xml:space="preserve"> PAGEREF _Toc25040 \h </w:instrText>
          </w:r>
          <w:r>
            <w:fldChar w:fldCharType="separate"/>
          </w:r>
          <w:r>
            <w:t>45</w:t>
          </w:r>
          <w:r>
            <w:fldChar w:fldCharType="end"/>
          </w:r>
          <w:r>
            <w:fldChar w:fldCharType="end"/>
          </w:r>
        </w:p>
        <w:p w14:paraId="7C7F30D8">
          <w:pPr>
            <w:pStyle w:val="13"/>
            <w:tabs>
              <w:tab w:val="right" w:leader="dot" w:pos="8336"/>
            </w:tabs>
          </w:pPr>
          <w:r>
            <w:fldChar w:fldCharType="begin"/>
          </w:r>
          <w:r>
            <w:instrText xml:space="preserve"> HYPERLINK \l _Toc27696 </w:instrText>
          </w:r>
          <w:r>
            <w:fldChar w:fldCharType="separate"/>
          </w:r>
          <w:r>
            <w:rPr>
              <w:rFonts w:hint="eastAsia" w:ascii="黑体" w:hAnsi="黑体" w:eastAsia="黑体" w:cs="黑体"/>
              <w:bCs/>
              <w:spacing w:val="-5"/>
              <w:szCs w:val="24"/>
              <w:lang w:val="en-US" w:eastAsia="zh-CN"/>
            </w:rPr>
            <w:t>7.</w:t>
          </w:r>
          <w:r>
            <w:rPr>
              <w:rFonts w:hint="default" w:ascii="黑体" w:hAnsi="黑体" w:eastAsia="黑体" w:cs="黑体"/>
              <w:bCs/>
              <w:spacing w:val="-5"/>
              <w:szCs w:val="24"/>
              <w:lang w:eastAsia="zh-CN"/>
            </w:rPr>
            <w:t>5</w:t>
          </w:r>
          <w:r>
            <w:rPr>
              <w:rFonts w:ascii="黑体" w:hAnsi="黑体" w:eastAsia="黑体" w:cs="黑体"/>
              <w:spacing w:val="113"/>
              <w:szCs w:val="24"/>
            </w:rPr>
            <w:t xml:space="preserve"> </w:t>
          </w:r>
          <w:r>
            <w:rPr>
              <w:rFonts w:hint="eastAsia" w:ascii="黑体" w:hAnsi="黑体" w:eastAsia="黑体" w:cs="黑体"/>
              <w:bCs/>
              <w:spacing w:val="-5"/>
              <w:szCs w:val="28"/>
            </w:rPr>
            <w:t>评估</w:t>
          </w:r>
          <w:r>
            <w:rPr>
              <w:rFonts w:hint="default" w:ascii="黑体" w:hAnsi="黑体" w:eastAsia="黑体" w:cs="黑体"/>
              <w:bCs/>
              <w:spacing w:val="-5"/>
              <w:szCs w:val="28"/>
            </w:rPr>
            <w:t>等级划分</w:t>
          </w:r>
          <w:r>
            <w:tab/>
          </w:r>
          <w:r>
            <w:fldChar w:fldCharType="begin"/>
          </w:r>
          <w:r>
            <w:instrText xml:space="preserve"> PAGEREF _Toc27696 \h </w:instrText>
          </w:r>
          <w:r>
            <w:fldChar w:fldCharType="separate"/>
          </w:r>
          <w:r>
            <w:t>49</w:t>
          </w:r>
          <w:r>
            <w:fldChar w:fldCharType="end"/>
          </w:r>
          <w:r>
            <w:fldChar w:fldCharType="end"/>
          </w:r>
        </w:p>
        <w:p w14:paraId="2AD518BB">
          <w:pPr>
            <w:pStyle w:val="13"/>
            <w:tabs>
              <w:tab w:val="right" w:leader="dot" w:pos="8336"/>
            </w:tabs>
          </w:pPr>
          <w:r>
            <w:fldChar w:fldCharType="begin"/>
          </w:r>
          <w:r>
            <w:instrText xml:space="preserve"> HYPERLINK \l _Toc10884 </w:instrText>
          </w:r>
          <w:r>
            <w:fldChar w:fldCharType="separate"/>
          </w:r>
          <w:r>
            <w:rPr>
              <w:rFonts w:hint="eastAsia" w:ascii="黑体" w:hAnsi="黑体" w:eastAsia="黑体" w:cs="黑体"/>
              <w:bCs/>
              <w:spacing w:val="-5"/>
              <w:szCs w:val="24"/>
              <w:lang w:val="en-US" w:eastAsia="zh-CN"/>
            </w:rPr>
            <w:t>7.6</w:t>
          </w:r>
          <w:r>
            <w:rPr>
              <w:rFonts w:ascii="黑体" w:hAnsi="黑体" w:eastAsia="黑体" w:cs="黑体"/>
              <w:spacing w:val="113"/>
              <w:szCs w:val="24"/>
            </w:rPr>
            <w:t xml:space="preserve"> </w:t>
          </w:r>
          <w:r>
            <w:rPr>
              <w:rFonts w:hint="eastAsia" w:ascii="黑体" w:hAnsi="黑体" w:eastAsia="黑体" w:cs="黑体"/>
              <w:bCs/>
              <w:spacing w:val="-5"/>
              <w:szCs w:val="28"/>
            </w:rPr>
            <w:t>碳汇抵消管理</w:t>
          </w:r>
          <w:r>
            <w:tab/>
          </w:r>
          <w:r>
            <w:fldChar w:fldCharType="begin"/>
          </w:r>
          <w:r>
            <w:instrText xml:space="preserve"> PAGEREF _Toc10884 \h </w:instrText>
          </w:r>
          <w:r>
            <w:fldChar w:fldCharType="separate"/>
          </w:r>
          <w:r>
            <w:t>50</w:t>
          </w:r>
          <w:r>
            <w:fldChar w:fldCharType="end"/>
          </w:r>
          <w:r>
            <w:fldChar w:fldCharType="end"/>
          </w:r>
        </w:p>
        <w:p w14:paraId="0106E3F2">
          <w:pPr>
            <w:pStyle w:val="9"/>
            <w:tabs>
              <w:tab w:val="right" w:leader="dot" w:pos="8336"/>
            </w:tabs>
          </w:pPr>
          <w:r>
            <w:fldChar w:fldCharType="begin"/>
          </w:r>
          <w:r>
            <w:instrText xml:space="preserve"> HYPERLINK \l _Toc28064 </w:instrText>
          </w:r>
          <w:r>
            <w:fldChar w:fldCharType="separate"/>
          </w:r>
          <w:r>
            <w:rPr>
              <w:rFonts w:ascii="宋体" w:hAnsi="宋体" w:eastAsia="宋体" w:cs="宋体"/>
              <w:i w:val="0"/>
              <w:strike w:val="0"/>
            </w:rPr>
            <w:t> </w:t>
          </w:r>
          <w:r>
            <w:tab/>
          </w:r>
          <w:r>
            <w:fldChar w:fldCharType="begin"/>
          </w:r>
          <w:r>
            <w:instrText xml:space="preserve"> PAGEREF _Toc28064 \h </w:instrText>
          </w:r>
          <w:r>
            <w:fldChar w:fldCharType="separate"/>
          </w:r>
          <w:r>
            <w:t>51</w:t>
          </w:r>
          <w:r>
            <w:fldChar w:fldCharType="end"/>
          </w:r>
          <w:r>
            <w:fldChar w:fldCharType="end"/>
          </w:r>
        </w:p>
        <w:p w14:paraId="65D2B90F">
          <w:pPr>
            <w:pStyle w:val="12"/>
            <w:tabs>
              <w:tab w:val="right" w:leader="dot" w:pos="8336"/>
            </w:tabs>
          </w:pPr>
          <w:r>
            <w:fldChar w:fldCharType="begin"/>
          </w:r>
          <w:r>
            <w:instrText xml:space="preserve"> HYPERLINK \l _Toc9910 </w:instrText>
          </w:r>
          <w:r>
            <w:fldChar w:fldCharType="separate"/>
          </w:r>
          <w:r>
            <w:rPr>
              <w:rFonts w:hint="eastAsia" w:ascii="黑体" w:hAnsi="黑体" w:eastAsia="黑体" w:cs="黑体"/>
              <w:szCs w:val="28"/>
            </w:rPr>
            <w:t>附录A 评估场景分析</w:t>
          </w:r>
          <w:r>
            <w:tab/>
          </w:r>
          <w:r>
            <w:fldChar w:fldCharType="begin"/>
          </w:r>
          <w:r>
            <w:instrText xml:space="preserve"> PAGEREF _Toc9910 \h </w:instrText>
          </w:r>
          <w:r>
            <w:fldChar w:fldCharType="separate"/>
          </w:r>
          <w:r>
            <w:t>51</w:t>
          </w:r>
          <w:r>
            <w:fldChar w:fldCharType="end"/>
          </w:r>
          <w:r>
            <w:fldChar w:fldCharType="end"/>
          </w:r>
        </w:p>
        <w:p w14:paraId="22AE3183">
          <w:pPr>
            <w:pStyle w:val="13"/>
            <w:tabs>
              <w:tab w:val="right" w:leader="dot" w:pos="8336"/>
            </w:tabs>
          </w:pPr>
          <w:r>
            <w:fldChar w:fldCharType="begin"/>
          </w:r>
          <w:r>
            <w:instrText xml:space="preserve"> HYPERLINK \l _Toc15909 </w:instrText>
          </w:r>
          <w:r>
            <w:fldChar w:fldCharType="separate"/>
          </w:r>
          <w:r>
            <w:rPr>
              <w:rFonts w:hint="eastAsia" w:ascii="黑体" w:hAnsi="黑体" w:eastAsia="黑体" w:cs="黑体"/>
              <w:i w:val="0"/>
              <w:strike w:val="0"/>
              <w:szCs w:val="28"/>
            </w:rPr>
            <w:t>A.0.1</w:t>
          </w:r>
          <w:r>
            <w:rPr>
              <w:rFonts w:hint="eastAsia" w:ascii="黑体" w:hAnsi="黑体" w:eastAsia="黑体" w:cs="黑体"/>
              <w:i w:val="0"/>
              <w:strike w:val="0"/>
              <w:szCs w:val="28"/>
              <w:lang w:val="en-US" w:eastAsia="zh-CN"/>
            </w:rPr>
            <w:t xml:space="preserve"> </w:t>
          </w:r>
          <w:r>
            <w:rPr>
              <w:rFonts w:hint="eastAsia" w:ascii="黑体" w:hAnsi="黑体" w:eastAsia="黑体" w:cs="黑体"/>
              <w:i w:val="0"/>
              <w:strike w:val="0"/>
              <w:szCs w:val="28"/>
            </w:rPr>
            <w:t>场景一详细打分——低碳施工（一级）</w:t>
          </w:r>
          <w:r>
            <w:tab/>
          </w:r>
          <w:r>
            <w:fldChar w:fldCharType="begin"/>
          </w:r>
          <w:r>
            <w:instrText xml:space="preserve"> PAGEREF _Toc15909 \h </w:instrText>
          </w:r>
          <w:r>
            <w:fldChar w:fldCharType="separate"/>
          </w:r>
          <w:r>
            <w:t>51</w:t>
          </w:r>
          <w:r>
            <w:fldChar w:fldCharType="end"/>
          </w:r>
          <w:r>
            <w:fldChar w:fldCharType="end"/>
          </w:r>
        </w:p>
        <w:p w14:paraId="3FE43432">
          <w:pPr>
            <w:pStyle w:val="13"/>
            <w:tabs>
              <w:tab w:val="right" w:leader="dot" w:pos="8336"/>
            </w:tabs>
          </w:pPr>
          <w:r>
            <w:fldChar w:fldCharType="begin"/>
          </w:r>
          <w:r>
            <w:instrText xml:space="preserve"> HYPERLINK \l _Toc4592 </w:instrText>
          </w:r>
          <w:r>
            <w:fldChar w:fldCharType="separate"/>
          </w:r>
          <w:r>
            <w:rPr>
              <w:rFonts w:hint="eastAsia" w:ascii="黑体" w:hAnsi="黑体" w:eastAsia="黑体" w:cs="黑体"/>
              <w:i w:val="0"/>
              <w:strike w:val="0"/>
              <w:szCs w:val="28"/>
            </w:rPr>
            <w:t>A.0.</w:t>
          </w:r>
          <w:r>
            <w:rPr>
              <w:rFonts w:hint="eastAsia" w:ascii="黑体" w:hAnsi="黑体" w:cs="黑体"/>
              <w:i w:val="0"/>
              <w:strike w:val="0"/>
              <w:szCs w:val="28"/>
              <w:lang w:val="en-US" w:eastAsia="zh-CN"/>
            </w:rPr>
            <w:t xml:space="preserve">2 </w:t>
          </w:r>
          <w:r>
            <w:rPr>
              <w:rFonts w:hint="eastAsia" w:ascii="黑体" w:hAnsi="黑体" w:eastAsia="黑体" w:cs="黑体"/>
              <w:i w:val="0"/>
              <w:strike w:val="0"/>
              <w:szCs w:val="28"/>
            </w:rPr>
            <w:t>场景二详细打分——近零碳施工（二级）</w:t>
          </w:r>
          <w:r>
            <w:tab/>
          </w:r>
          <w:r>
            <w:fldChar w:fldCharType="begin"/>
          </w:r>
          <w:r>
            <w:instrText xml:space="preserve"> PAGEREF _Toc4592 \h </w:instrText>
          </w:r>
          <w:r>
            <w:fldChar w:fldCharType="separate"/>
          </w:r>
          <w:r>
            <w:t>52</w:t>
          </w:r>
          <w:r>
            <w:fldChar w:fldCharType="end"/>
          </w:r>
          <w:r>
            <w:fldChar w:fldCharType="end"/>
          </w:r>
        </w:p>
        <w:p w14:paraId="6CF7A7C2">
          <w:pPr>
            <w:pStyle w:val="13"/>
            <w:tabs>
              <w:tab w:val="right" w:leader="dot" w:pos="8336"/>
            </w:tabs>
          </w:pPr>
          <w:r>
            <w:fldChar w:fldCharType="begin"/>
          </w:r>
          <w:r>
            <w:instrText xml:space="preserve"> HYPERLINK \l _Toc25017 </w:instrText>
          </w:r>
          <w:r>
            <w:fldChar w:fldCharType="separate"/>
          </w:r>
          <w:r>
            <w:rPr>
              <w:rFonts w:hint="eastAsia" w:ascii="黑体" w:hAnsi="黑体" w:eastAsia="黑体" w:cs="黑体"/>
              <w:i w:val="0"/>
              <w:strike w:val="0"/>
              <w:szCs w:val="28"/>
            </w:rPr>
            <w:t>A.0.</w:t>
          </w:r>
          <w:r>
            <w:rPr>
              <w:rFonts w:hint="eastAsia" w:ascii="黑体" w:hAnsi="黑体" w:cs="黑体"/>
              <w:i w:val="0"/>
              <w:strike w:val="0"/>
              <w:szCs w:val="28"/>
              <w:lang w:val="en-US" w:eastAsia="zh-CN"/>
            </w:rPr>
            <w:t xml:space="preserve">3 </w:t>
          </w:r>
          <w:r>
            <w:rPr>
              <w:rFonts w:hint="eastAsia" w:ascii="黑体" w:hAnsi="黑体" w:eastAsia="黑体" w:cs="黑体"/>
              <w:i w:val="0"/>
              <w:strike w:val="0"/>
              <w:szCs w:val="28"/>
            </w:rPr>
            <w:t>场景三详细打分——零碳施工（三级）</w:t>
          </w:r>
          <w:r>
            <w:tab/>
          </w:r>
          <w:r>
            <w:fldChar w:fldCharType="begin"/>
          </w:r>
          <w:r>
            <w:instrText xml:space="preserve"> PAGEREF _Toc25017 \h </w:instrText>
          </w:r>
          <w:r>
            <w:fldChar w:fldCharType="separate"/>
          </w:r>
          <w:r>
            <w:t>54</w:t>
          </w:r>
          <w:r>
            <w:fldChar w:fldCharType="end"/>
          </w:r>
          <w:r>
            <w:fldChar w:fldCharType="end"/>
          </w:r>
        </w:p>
        <w:p w14:paraId="27C4ED69">
          <w:pPr>
            <w:pStyle w:val="12"/>
            <w:tabs>
              <w:tab w:val="right" w:leader="dot" w:pos="8336"/>
            </w:tabs>
          </w:pPr>
          <w:r>
            <w:fldChar w:fldCharType="begin"/>
          </w:r>
          <w:r>
            <w:instrText xml:space="preserve"> HYPERLINK \l _Toc1169 </w:instrText>
          </w:r>
          <w:r>
            <w:fldChar w:fldCharType="separate"/>
          </w:r>
          <w:r>
            <w:rPr>
              <w:rFonts w:ascii="宋体" w:hAnsi="宋体" w:eastAsia="宋体" w:cs="宋体"/>
              <w:bCs/>
              <w:spacing w:val="5"/>
              <w:szCs w:val="31"/>
            </w:rPr>
            <w:t>本标准用词说明</w:t>
          </w:r>
          <w:r>
            <w:tab/>
          </w:r>
          <w:r>
            <w:fldChar w:fldCharType="begin"/>
          </w:r>
          <w:r>
            <w:instrText xml:space="preserve"> PAGEREF _Toc1169 \h </w:instrText>
          </w:r>
          <w:r>
            <w:fldChar w:fldCharType="separate"/>
          </w:r>
          <w:r>
            <w:t>56</w:t>
          </w:r>
          <w:r>
            <w:fldChar w:fldCharType="end"/>
          </w:r>
          <w:r>
            <w:fldChar w:fldCharType="end"/>
          </w:r>
        </w:p>
        <w:p w14:paraId="1AAAD633">
          <w:pPr>
            <w:pStyle w:val="12"/>
            <w:tabs>
              <w:tab w:val="right" w:leader="dot" w:pos="8336"/>
            </w:tabs>
          </w:pPr>
          <w:r>
            <w:fldChar w:fldCharType="begin"/>
          </w:r>
          <w:r>
            <w:instrText xml:space="preserve"> HYPERLINK \l _Toc19037 </w:instrText>
          </w:r>
          <w:r>
            <w:fldChar w:fldCharType="separate"/>
          </w:r>
          <w:r>
            <w:rPr>
              <w:rFonts w:ascii="宋体" w:hAnsi="宋体" w:eastAsia="宋体" w:cs="宋体"/>
              <w:bCs/>
              <w:spacing w:val="1"/>
              <w:szCs w:val="31"/>
            </w:rPr>
            <w:t>引用标准名录</w:t>
          </w:r>
          <w:r>
            <w:tab/>
          </w:r>
          <w:r>
            <w:fldChar w:fldCharType="begin"/>
          </w:r>
          <w:r>
            <w:instrText xml:space="preserve"> PAGEREF _Toc19037 \h </w:instrText>
          </w:r>
          <w:r>
            <w:fldChar w:fldCharType="separate"/>
          </w:r>
          <w:r>
            <w:t>57</w:t>
          </w:r>
          <w:r>
            <w:fldChar w:fldCharType="end"/>
          </w:r>
          <w:r>
            <w:fldChar w:fldCharType="end"/>
          </w:r>
        </w:p>
        <w:p w14:paraId="064B14FA">
          <w:pPr>
            <w:pStyle w:val="12"/>
            <w:tabs>
              <w:tab w:val="right" w:leader="dot" w:pos="8336"/>
            </w:tabs>
          </w:pPr>
          <w:r>
            <w:fldChar w:fldCharType="begin"/>
          </w:r>
          <w:r>
            <w:instrText xml:space="preserve"> HYPERLINK \l _Toc32561 </w:instrText>
          </w:r>
          <w:r>
            <w:fldChar w:fldCharType="separate"/>
          </w:r>
          <w:r>
            <w:rPr>
              <w:rFonts w:ascii="黑体" w:hAnsi="黑体" w:eastAsia="黑体" w:cs="黑体"/>
              <w:i w:val="0"/>
              <w:strike w:val="0"/>
              <w:spacing w:val="8"/>
            </w:rPr>
            <w:t>零碳建筑施工技术标准</w:t>
          </w:r>
          <w:r>
            <w:rPr>
              <w:rFonts w:hint="eastAsia" w:ascii="黑体" w:hAnsi="黑体" w:eastAsia="黑体" w:cs="黑体"/>
              <w:i w:val="0"/>
              <w:strike w:val="0"/>
              <w:spacing w:val="8"/>
              <w:lang w:val="en-US" w:eastAsia="zh-CN"/>
            </w:rPr>
            <w:t>条文说明</w:t>
          </w:r>
          <w:r>
            <w:tab/>
          </w:r>
          <w:r>
            <w:fldChar w:fldCharType="begin"/>
          </w:r>
          <w:r>
            <w:instrText xml:space="preserve"> PAGEREF _Toc32561 \h </w:instrText>
          </w:r>
          <w:r>
            <w:fldChar w:fldCharType="separate"/>
          </w:r>
          <w:r>
            <w:t>58</w:t>
          </w:r>
          <w:r>
            <w:fldChar w:fldCharType="end"/>
          </w:r>
          <w:r>
            <w:fldChar w:fldCharType="end"/>
          </w:r>
        </w:p>
        <w:p w14:paraId="660BB723">
          <w:pPr>
            <w:pStyle w:val="12"/>
            <w:tabs>
              <w:tab w:val="right" w:leader="dot" w:pos="8336"/>
            </w:tabs>
          </w:pPr>
          <w:r>
            <w:fldChar w:fldCharType="begin"/>
          </w:r>
          <w:r>
            <w:instrText xml:space="preserve"> HYPERLINK \l _Toc23164 </w:instrText>
          </w:r>
          <w:r>
            <w:fldChar w:fldCharType="separate"/>
          </w:r>
          <w:r>
            <w:rPr>
              <w:rFonts w:ascii="宋体" w:hAnsi="宋体" w:eastAsia="宋体" w:cs="宋体"/>
              <w:i w:val="0"/>
              <w:strike w:val="0"/>
              <w:spacing w:val="4"/>
            </w:rPr>
            <w:t>制订说明</w:t>
          </w:r>
          <w:r>
            <w:tab/>
          </w:r>
          <w:r>
            <w:fldChar w:fldCharType="begin"/>
          </w:r>
          <w:r>
            <w:instrText xml:space="preserve"> PAGEREF _Toc23164 \h </w:instrText>
          </w:r>
          <w:r>
            <w:fldChar w:fldCharType="separate"/>
          </w:r>
          <w:r>
            <w:t>58</w:t>
          </w:r>
          <w:r>
            <w:fldChar w:fldCharType="end"/>
          </w:r>
          <w:r>
            <w:fldChar w:fldCharType="end"/>
          </w:r>
        </w:p>
        <w:p w14:paraId="2154321E">
          <w:pPr>
            <w:pStyle w:val="13"/>
            <w:tabs>
              <w:tab w:val="right" w:leader="dot" w:pos="8336"/>
            </w:tabs>
          </w:pPr>
          <w:r>
            <w:fldChar w:fldCharType="begin"/>
          </w:r>
          <w:r>
            <w:instrText xml:space="preserve"> HYPERLINK \l _Toc30199 </w:instrText>
          </w:r>
          <w:r>
            <w:fldChar w:fldCharType="separate"/>
          </w:r>
          <w:r>
            <w:rPr>
              <w:rFonts w:ascii="宋体" w:hAnsi="宋体" w:eastAsia="宋体" w:cs="宋体"/>
              <w:i w:val="0"/>
              <w:strike w:val="0"/>
            </w:rPr>
            <w:t>1 总 则</w:t>
          </w:r>
          <w:r>
            <w:tab/>
          </w:r>
          <w:r>
            <w:fldChar w:fldCharType="begin"/>
          </w:r>
          <w:r>
            <w:instrText xml:space="preserve"> PAGEREF _Toc30199 \h </w:instrText>
          </w:r>
          <w:r>
            <w:fldChar w:fldCharType="separate"/>
          </w:r>
          <w:r>
            <w:t>59</w:t>
          </w:r>
          <w:r>
            <w:fldChar w:fldCharType="end"/>
          </w:r>
          <w:r>
            <w:fldChar w:fldCharType="end"/>
          </w:r>
        </w:p>
        <w:p w14:paraId="676F5D8E">
          <w:pPr>
            <w:pStyle w:val="13"/>
            <w:tabs>
              <w:tab w:val="right" w:leader="dot" w:pos="8336"/>
            </w:tabs>
          </w:pPr>
          <w:r>
            <w:fldChar w:fldCharType="begin"/>
          </w:r>
          <w:r>
            <w:instrText xml:space="preserve"> HYPERLINK \l _Toc2916 </w:instrText>
          </w:r>
          <w:r>
            <w:fldChar w:fldCharType="separate"/>
          </w:r>
          <w:r>
            <w:rPr>
              <w:rFonts w:ascii="宋体" w:hAnsi="宋体" w:eastAsia="宋体" w:cs="宋体"/>
              <w:i w:val="0"/>
              <w:strike w:val="0"/>
              <w:snapToGrid w:val="0"/>
              <w:kern w:val="0"/>
              <w:szCs w:val="21"/>
              <w:lang w:val="en-US" w:eastAsia="en-US" w:bidi="ar-SA"/>
            </w:rPr>
            <w:t xml:space="preserve">3 </w:t>
          </w:r>
          <w:r>
            <w:rPr>
              <w:rFonts w:hint="eastAsia" w:ascii="宋体" w:hAnsi="宋体" w:eastAsia="宋体" w:cs="宋体"/>
              <w:i w:val="0"/>
              <w:strike w:val="0"/>
              <w:snapToGrid w:val="0"/>
              <w:kern w:val="0"/>
              <w:szCs w:val="21"/>
              <w:lang w:val="en-US" w:eastAsia="en-US" w:bidi="ar-SA"/>
            </w:rPr>
            <w:t>基本规定</w:t>
          </w:r>
          <w:r>
            <w:tab/>
          </w:r>
          <w:r>
            <w:fldChar w:fldCharType="begin"/>
          </w:r>
          <w:r>
            <w:instrText xml:space="preserve"> PAGEREF _Toc2916 \h </w:instrText>
          </w:r>
          <w:r>
            <w:fldChar w:fldCharType="separate"/>
          </w:r>
          <w:r>
            <w:t>59</w:t>
          </w:r>
          <w:r>
            <w:fldChar w:fldCharType="end"/>
          </w:r>
          <w:r>
            <w:fldChar w:fldCharType="end"/>
          </w:r>
        </w:p>
        <w:p w14:paraId="5CC36F1E">
          <w:pPr>
            <w:pStyle w:val="13"/>
            <w:tabs>
              <w:tab w:val="right" w:leader="dot" w:pos="8336"/>
            </w:tabs>
          </w:pPr>
          <w:r>
            <w:fldChar w:fldCharType="begin"/>
          </w:r>
          <w:r>
            <w:instrText xml:space="preserve"> HYPERLINK \l _Toc945 </w:instrText>
          </w:r>
          <w:r>
            <w:fldChar w:fldCharType="separate"/>
          </w:r>
          <w:r>
            <w:rPr>
              <w:rFonts w:hint="eastAsia" w:ascii="宋体" w:hAnsi="宋体" w:eastAsia="宋体" w:cs="宋体"/>
              <w:bCs/>
              <w:snapToGrid w:val="0"/>
              <w:kern w:val="0"/>
              <w:szCs w:val="30"/>
              <w:lang w:val="en-US" w:eastAsia="zh-CN" w:bidi="ar"/>
            </w:rPr>
            <w:t>4  施工管理</w:t>
          </w:r>
          <w:r>
            <w:tab/>
          </w:r>
          <w:r>
            <w:fldChar w:fldCharType="begin"/>
          </w:r>
          <w:r>
            <w:instrText xml:space="preserve"> PAGEREF _Toc945 \h </w:instrText>
          </w:r>
          <w:r>
            <w:fldChar w:fldCharType="separate"/>
          </w:r>
          <w:r>
            <w:t>59</w:t>
          </w:r>
          <w:r>
            <w:fldChar w:fldCharType="end"/>
          </w:r>
          <w:r>
            <w:fldChar w:fldCharType="end"/>
          </w:r>
        </w:p>
        <w:p w14:paraId="4B571418">
          <w:pPr>
            <w:pStyle w:val="13"/>
            <w:tabs>
              <w:tab w:val="right" w:leader="dot" w:pos="8336"/>
            </w:tabs>
          </w:pPr>
          <w:r>
            <w:fldChar w:fldCharType="begin"/>
          </w:r>
          <w:r>
            <w:instrText xml:space="preserve"> HYPERLINK \l _Toc24700 </w:instrText>
          </w:r>
          <w:r>
            <w:fldChar w:fldCharType="separate"/>
          </w:r>
          <w:r>
            <w:rPr>
              <w:rFonts w:hint="eastAsia" w:ascii="宋体" w:hAnsi="宋体" w:eastAsia="宋体" w:cs="宋体"/>
              <w:bCs/>
              <w:snapToGrid w:val="0"/>
              <w:kern w:val="0"/>
              <w:szCs w:val="30"/>
              <w:lang w:val="en-US" w:eastAsia="zh-CN" w:bidi="ar"/>
            </w:rPr>
            <w:t>5 施工技术</w:t>
          </w:r>
          <w:r>
            <w:tab/>
          </w:r>
          <w:r>
            <w:fldChar w:fldCharType="begin"/>
          </w:r>
          <w:r>
            <w:instrText xml:space="preserve"> PAGEREF _Toc24700 \h </w:instrText>
          </w:r>
          <w:r>
            <w:fldChar w:fldCharType="separate"/>
          </w:r>
          <w:r>
            <w:t>60</w:t>
          </w:r>
          <w:r>
            <w:fldChar w:fldCharType="end"/>
          </w:r>
          <w:r>
            <w:fldChar w:fldCharType="end"/>
          </w:r>
        </w:p>
        <w:p w14:paraId="07DC8677">
          <w:pPr>
            <w:pStyle w:val="13"/>
            <w:tabs>
              <w:tab w:val="right" w:leader="dot" w:pos="8336"/>
            </w:tabs>
          </w:pPr>
          <w:r>
            <w:fldChar w:fldCharType="begin"/>
          </w:r>
          <w:r>
            <w:instrText xml:space="preserve"> HYPERLINK \l _Toc27320 </w:instrText>
          </w:r>
          <w:r>
            <w:fldChar w:fldCharType="separate"/>
          </w:r>
          <w:r>
            <w:rPr>
              <w:rFonts w:hint="default" w:ascii="Arial" w:hAnsi="Arial" w:eastAsia="Arial" w:cs="Arial"/>
              <w:snapToGrid w:val="0"/>
              <w:kern w:val="0"/>
              <w:szCs w:val="21"/>
              <w:lang w:val="en-US" w:eastAsia="zh-CN" w:bidi="ar"/>
            </w:rPr>
            <w:t xml:space="preserve">6 </w:t>
          </w:r>
          <w:r>
            <w:rPr>
              <w:rFonts w:hint="eastAsia" w:ascii="宋体" w:hAnsi="宋体" w:eastAsia="宋体" w:cs="宋体"/>
              <w:snapToGrid w:val="0"/>
              <w:kern w:val="0"/>
              <w:szCs w:val="21"/>
              <w:lang w:val="en-US" w:eastAsia="zh-CN" w:bidi="ar"/>
            </w:rPr>
            <w:t>供应链管理</w:t>
          </w:r>
          <w:r>
            <w:tab/>
          </w:r>
          <w:r>
            <w:fldChar w:fldCharType="begin"/>
          </w:r>
          <w:r>
            <w:instrText xml:space="preserve"> PAGEREF _Toc27320 \h </w:instrText>
          </w:r>
          <w:r>
            <w:fldChar w:fldCharType="separate"/>
          </w:r>
          <w:r>
            <w:t>61</w:t>
          </w:r>
          <w:r>
            <w:fldChar w:fldCharType="end"/>
          </w:r>
          <w:r>
            <w:fldChar w:fldCharType="end"/>
          </w:r>
        </w:p>
        <w:p w14:paraId="70154B04">
          <w:pPr>
            <w:pStyle w:val="13"/>
            <w:tabs>
              <w:tab w:val="right" w:leader="dot" w:pos="8336"/>
            </w:tabs>
          </w:pPr>
          <w:r>
            <w:fldChar w:fldCharType="begin"/>
          </w:r>
          <w:r>
            <w:instrText xml:space="preserve"> HYPERLINK \l _Toc21785 </w:instrText>
          </w:r>
          <w:r>
            <w:fldChar w:fldCharType="separate"/>
          </w:r>
          <w:r>
            <w:rPr>
              <w:rFonts w:hint="eastAsia" w:ascii="宋体" w:hAnsi="宋体" w:eastAsia="宋体" w:cs="宋体"/>
              <w:bCs/>
              <w:snapToGrid w:val="0"/>
              <w:kern w:val="0"/>
              <w:szCs w:val="30"/>
              <w:lang w:val="en-US" w:eastAsia="zh-CN" w:bidi="ar"/>
            </w:rPr>
            <w:t>7 低碳建造评估</w:t>
          </w:r>
          <w:r>
            <w:tab/>
          </w:r>
          <w:r>
            <w:fldChar w:fldCharType="begin"/>
          </w:r>
          <w:r>
            <w:instrText xml:space="preserve"> PAGEREF _Toc21785 \h </w:instrText>
          </w:r>
          <w:r>
            <w:fldChar w:fldCharType="separate"/>
          </w:r>
          <w:r>
            <w:t>63</w:t>
          </w:r>
          <w:r>
            <w:fldChar w:fldCharType="end"/>
          </w:r>
          <w:r>
            <w:fldChar w:fldCharType="end"/>
          </w:r>
        </w:p>
        <w:p w14:paraId="080CFB82">
          <w:pPr>
            <w:spacing w:line="240" w:lineRule="auto"/>
            <w:rPr>
              <w:rFonts w:ascii="Arial" w:hAnsi="Arial" w:eastAsia="Arial" w:cs="Arial"/>
              <w:snapToGrid w:val="0"/>
              <w:color w:val="000000"/>
              <w:kern w:val="0"/>
              <w:sz w:val="21"/>
              <w:szCs w:val="21"/>
              <w:lang w:val="en-US" w:eastAsia="en-US" w:bidi="ar-SA"/>
            </w:rPr>
          </w:pPr>
          <w:r>
            <w:fldChar w:fldCharType="end"/>
          </w:r>
        </w:p>
      </w:sdtContent>
    </w:sdt>
    <w:p w14:paraId="7C2F2BF5">
      <w:pPr>
        <w:spacing w:line="219" w:lineRule="auto"/>
        <w:rPr>
          <w:rFonts w:ascii="Times New Roman" w:hAnsi="Times New Roman" w:eastAsia="Times New Roman" w:cs="Times New Roman"/>
          <w:snapToGrid w:val="0"/>
          <w:color w:val="000000"/>
          <w:kern w:val="0"/>
          <w:sz w:val="21"/>
          <w:szCs w:val="24"/>
          <w:lang w:val="en-US" w:eastAsia="en-US" w:bidi="ar-SA"/>
        </w:rPr>
        <w:sectPr>
          <w:footerReference r:id="rId7" w:type="default"/>
          <w:pgSz w:w="11906" w:h="16839"/>
          <w:pgMar w:top="1431" w:right="1785" w:bottom="1152" w:left="1785" w:header="0" w:footer="987" w:gutter="0"/>
          <w:pgNumType w:fmt="decimal"/>
          <w:cols w:space="720" w:num="1"/>
        </w:sectPr>
      </w:pPr>
    </w:p>
    <w:p w14:paraId="50E2825D">
      <w:pPr>
        <w:pStyle w:val="7"/>
        <w:spacing w:line="373" w:lineRule="auto"/>
        <w:jc w:val="center"/>
        <w:rPr>
          <w:rFonts w:ascii="Times New Roman" w:hAnsi="Times New Roman" w:eastAsia="Times New Roman" w:cs="Times New Roman"/>
          <w:spacing w:val="-2"/>
          <w:sz w:val="30"/>
          <w:szCs w:val="30"/>
        </w:rPr>
      </w:pPr>
      <w:r>
        <w:rPr>
          <w:rFonts w:ascii="Times New Roman" w:hAnsi="Times New Roman" w:eastAsia="Times New Roman" w:cs="Times New Roman"/>
          <w:spacing w:val="-2"/>
          <w:sz w:val="30"/>
          <w:szCs w:val="30"/>
        </w:rPr>
        <w:t>Contents</w:t>
      </w:r>
    </w:p>
    <w:p w14:paraId="7916CE4A">
      <w:pPr>
        <w:tabs>
          <w:tab w:val="left" w:pos="41"/>
          <w:tab w:val="right" w:leader="dot" w:pos="8310"/>
        </w:tabs>
        <w:spacing w:before="292" w:line="172" w:lineRule="exact"/>
        <w:ind w:left="14"/>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ICS</w:t>
      </w:r>
      <w:r>
        <w:rPr>
          <w:rFonts w:hint="eastAsia" w:ascii="Times New Roman" w:hAnsi="Times New Roman" w:eastAsia="宋体" w:cs="Times New Roman"/>
          <w:spacing w:val="-2"/>
          <w:position w:val="-3"/>
          <w:sz w:val="24"/>
          <w:szCs w:val="24"/>
          <w:lang w:val="en-US" w:eastAsia="zh-CN"/>
        </w:rPr>
        <w:t xml:space="preserve"> </w:t>
      </w:r>
      <w:r>
        <w:rPr>
          <w:rFonts w:hint="eastAsia" w:ascii="Times New Roman" w:hAnsi="Times New Roman" w:eastAsia="Times New Roman" w:cs="Times New Roman"/>
          <w:spacing w:val="-2"/>
          <w:position w:val="-3"/>
          <w:sz w:val="24"/>
          <w:szCs w:val="24"/>
        </w:rPr>
        <w:t>..................................................................................................................................</w:t>
      </w:r>
      <w:r>
        <w:rPr>
          <w:rFonts w:hint="eastAsia" w:ascii="Times New Roman" w:hAnsi="Times New Roman" w:eastAsia="宋体" w:cs="Times New Roman"/>
          <w:spacing w:val="-2"/>
          <w:position w:val="-3"/>
          <w:sz w:val="24"/>
          <w:szCs w:val="24"/>
          <w:lang w:val="en-US" w:eastAsia="zh-CN"/>
        </w:rPr>
        <w:t xml:space="preserve"> </w:t>
      </w:r>
      <w:r>
        <w:rPr>
          <w:rFonts w:hint="eastAsia" w:ascii="Times New Roman" w:hAnsi="Times New Roman" w:eastAsia="Times New Roman" w:cs="Times New Roman"/>
          <w:spacing w:val="-2"/>
          <w:position w:val="-3"/>
          <w:sz w:val="24"/>
          <w:szCs w:val="24"/>
        </w:rPr>
        <w:t>1</w:t>
      </w:r>
    </w:p>
    <w:p w14:paraId="478EDDE9">
      <w:pPr>
        <w:tabs>
          <w:tab w:val="left" w:pos="41"/>
          <w:tab w:val="right" w:leader="dot" w:pos="8310"/>
        </w:tabs>
        <w:spacing w:before="292" w:line="172" w:lineRule="exact"/>
        <w:ind w:left="14"/>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Foreword</w:t>
      </w:r>
      <w:r>
        <w:rPr>
          <w:rFonts w:hint="eastAsia" w:ascii="Times New Roman" w:hAnsi="Times New Roman" w:eastAsia="宋体" w:cs="Times New Roman"/>
          <w:spacing w:val="-2"/>
          <w:position w:val="-3"/>
          <w:sz w:val="24"/>
          <w:szCs w:val="24"/>
          <w:lang w:val="en-US" w:eastAsia="zh-CN"/>
        </w:rPr>
        <w:t xml:space="preserve"> </w:t>
      </w:r>
      <w:r>
        <w:rPr>
          <w:rFonts w:hint="eastAsia" w:ascii="Times New Roman" w:hAnsi="Times New Roman" w:eastAsia="Times New Roman" w:cs="Times New Roman"/>
          <w:spacing w:val="-2"/>
          <w:position w:val="-3"/>
          <w:sz w:val="24"/>
          <w:szCs w:val="24"/>
        </w:rPr>
        <w:t>........................................................................................................................</w:t>
      </w:r>
      <w:r>
        <w:rPr>
          <w:rFonts w:hint="eastAsia" w:ascii="Times New Roman" w:hAnsi="Times New Roman" w:eastAsia="宋体" w:cs="Times New Roman"/>
          <w:spacing w:val="-2"/>
          <w:position w:val="-3"/>
          <w:sz w:val="24"/>
          <w:szCs w:val="24"/>
          <w:lang w:val="en-US" w:eastAsia="zh-CN"/>
        </w:rPr>
        <w:t xml:space="preserve"> </w:t>
      </w:r>
      <w:r>
        <w:rPr>
          <w:rFonts w:hint="eastAsia" w:ascii="Times New Roman" w:hAnsi="Times New Roman" w:eastAsia="Times New Roman" w:cs="Times New Roman"/>
          <w:spacing w:val="-2"/>
          <w:position w:val="-3"/>
          <w:sz w:val="24"/>
          <w:szCs w:val="24"/>
        </w:rPr>
        <w:t>3</w:t>
      </w:r>
    </w:p>
    <w:p w14:paraId="445084F1">
      <w:pPr>
        <w:tabs>
          <w:tab w:val="left" w:pos="41"/>
          <w:tab w:val="right" w:leader="dot" w:pos="8310"/>
        </w:tabs>
        <w:spacing w:before="292" w:line="172" w:lineRule="exact"/>
        <w:ind w:left="14"/>
        <w:rPr>
          <w:rFonts w:hint="default"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1</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General Provisions..............................................................................................</w:t>
      </w:r>
      <w:r>
        <w:rPr>
          <w:rFonts w:hint="eastAsia" w:ascii="Times New Roman" w:hAnsi="Times New Roman" w:eastAsia="宋体" w:cs="Times New Roman"/>
          <w:spacing w:val="-2"/>
          <w:position w:val="-3"/>
          <w:sz w:val="24"/>
          <w:szCs w:val="24"/>
          <w:lang w:val="en-US" w:eastAsia="zh-CN"/>
        </w:rPr>
        <w:t>10</w:t>
      </w:r>
    </w:p>
    <w:p w14:paraId="7738C36B">
      <w:pPr>
        <w:tabs>
          <w:tab w:val="left" w:pos="41"/>
          <w:tab w:val="right" w:leader="dot" w:pos="8310"/>
        </w:tabs>
        <w:spacing w:before="292" w:line="172" w:lineRule="exact"/>
        <w:ind w:left="14"/>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2</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 xml:space="preserve"> Terms and Symbols............................................................................................1</w:t>
      </w:r>
      <w:r>
        <w:rPr>
          <w:rFonts w:hint="eastAsia" w:ascii="Times New Roman" w:hAnsi="Times New Roman" w:eastAsia="宋体" w:cs="Times New Roman"/>
          <w:spacing w:val="-2"/>
          <w:position w:val="-3"/>
          <w:sz w:val="24"/>
          <w:szCs w:val="24"/>
          <w:lang w:val="en-US" w:eastAsia="zh-CN"/>
        </w:rPr>
        <w:t>1</w:t>
      </w:r>
    </w:p>
    <w:p w14:paraId="5E2FAA3F">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2.1</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Terms...........................................................................................................1</w:t>
      </w:r>
      <w:r>
        <w:rPr>
          <w:rFonts w:hint="eastAsia" w:ascii="Times New Roman" w:hAnsi="Times New Roman" w:eastAsia="宋体" w:cs="Times New Roman"/>
          <w:spacing w:val="-2"/>
          <w:position w:val="-3"/>
          <w:sz w:val="24"/>
          <w:szCs w:val="24"/>
          <w:lang w:val="en-US" w:eastAsia="zh-CN"/>
        </w:rPr>
        <w:t>1</w:t>
      </w:r>
    </w:p>
    <w:p w14:paraId="58FD7925">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2.2</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Symbols.......................................................................................................1</w:t>
      </w:r>
      <w:r>
        <w:rPr>
          <w:rFonts w:hint="eastAsia" w:ascii="Times New Roman" w:hAnsi="Times New Roman" w:eastAsia="宋体" w:cs="Times New Roman"/>
          <w:spacing w:val="-2"/>
          <w:position w:val="-3"/>
          <w:sz w:val="24"/>
          <w:szCs w:val="24"/>
          <w:lang w:val="en-US" w:eastAsia="zh-CN"/>
        </w:rPr>
        <w:t>2</w:t>
      </w:r>
    </w:p>
    <w:p w14:paraId="18FCFE14">
      <w:pPr>
        <w:tabs>
          <w:tab w:val="left" w:pos="41"/>
          <w:tab w:val="right" w:leader="dot" w:pos="8310"/>
        </w:tabs>
        <w:spacing w:before="292" w:line="172" w:lineRule="exact"/>
        <w:ind w:left="14"/>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3</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Basic Requirements............................................................................................1</w:t>
      </w:r>
      <w:r>
        <w:rPr>
          <w:rFonts w:hint="eastAsia" w:ascii="Times New Roman" w:hAnsi="Times New Roman" w:eastAsia="宋体" w:cs="Times New Roman"/>
          <w:spacing w:val="-2"/>
          <w:position w:val="-3"/>
          <w:sz w:val="24"/>
          <w:szCs w:val="24"/>
          <w:lang w:val="en-US" w:eastAsia="zh-CN"/>
        </w:rPr>
        <w:t>3</w:t>
      </w:r>
    </w:p>
    <w:p w14:paraId="00B40536">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eastAsia="zh-CN"/>
        </w:rPr>
      </w:pPr>
      <w:r>
        <w:rPr>
          <w:rFonts w:hint="eastAsia" w:ascii="Times New Roman" w:hAnsi="Times New Roman" w:eastAsia="Times New Roman" w:cs="Times New Roman"/>
          <w:spacing w:val="-2"/>
          <w:position w:val="-3"/>
          <w:sz w:val="24"/>
          <w:szCs w:val="24"/>
        </w:rPr>
        <w:t>3.1</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General Requirements.................................................................................1</w:t>
      </w:r>
      <w:r>
        <w:rPr>
          <w:rFonts w:hint="eastAsia" w:ascii="Times New Roman" w:hAnsi="Times New Roman" w:eastAsia="宋体" w:cs="Times New Roman"/>
          <w:spacing w:val="-2"/>
          <w:position w:val="-3"/>
          <w:sz w:val="24"/>
          <w:szCs w:val="24"/>
          <w:lang w:val="en-US" w:eastAsia="zh-CN"/>
        </w:rPr>
        <w:t>3</w:t>
      </w:r>
    </w:p>
    <w:p w14:paraId="40ED2376">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3.2</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Organization and Responsibilities...............................................................1</w:t>
      </w:r>
      <w:r>
        <w:rPr>
          <w:rFonts w:hint="eastAsia" w:ascii="Times New Roman" w:hAnsi="Times New Roman" w:eastAsia="宋体" w:cs="Times New Roman"/>
          <w:spacing w:val="-2"/>
          <w:position w:val="-3"/>
          <w:sz w:val="24"/>
          <w:szCs w:val="24"/>
          <w:lang w:val="en-US" w:eastAsia="zh-CN"/>
        </w:rPr>
        <w:t>4</w:t>
      </w:r>
    </w:p>
    <w:p w14:paraId="74885B3A">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3.3</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Management Requirements.........................................................................1</w:t>
      </w:r>
      <w:r>
        <w:rPr>
          <w:rFonts w:hint="eastAsia" w:ascii="Times New Roman" w:hAnsi="Times New Roman" w:eastAsia="宋体" w:cs="Times New Roman"/>
          <w:spacing w:val="-2"/>
          <w:position w:val="-3"/>
          <w:sz w:val="24"/>
          <w:szCs w:val="24"/>
          <w:lang w:val="en-US" w:eastAsia="zh-CN"/>
        </w:rPr>
        <w:t>6</w:t>
      </w:r>
    </w:p>
    <w:p w14:paraId="2C429D5A">
      <w:pPr>
        <w:tabs>
          <w:tab w:val="left" w:pos="41"/>
          <w:tab w:val="right" w:leader="dot" w:pos="8310"/>
        </w:tabs>
        <w:spacing w:before="292" w:line="172" w:lineRule="exact"/>
        <w:ind w:left="14"/>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4</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Construction Management.................................................................................1</w:t>
      </w:r>
      <w:r>
        <w:rPr>
          <w:rFonts w:hint="eastAsia" w:ascii="Times New Roman" w:hAnsi="Times New Roman" w:eastAsia="宋体" w:cs="Times New Roman"/>
          <w:spacing w:val="-2"/>
          <w:position w:val="-3"/>
          <w:sz w:val="24"/>
          <w:szCs w:val="24"/>
          <w:lang w:val="en-US" w:eastAsia="zh-CN"/>
        </w:rPr>
        <w:t>6</w:t>
      </w:r>
    </w:p>
    <w:p w14:paraId="24E67E6D">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eastAsia="zh-CN"/>
        </w:rPr>
      </w:pPr>
      <w:r>
        <w:rPr>
          <w:rFonts w:hint="eastAsia" w:ascii="Times New Roman" w:hAnsi="Times New Roman" w:eastAsia="Times New Roman" w:cs="Times New Roman"/>
          <w:spacing w:val="-2"/>
          <w:position w:val="-3"/>
          <w:sz w:val="24"/>
          <w:szCs w:val="24"/>
        </w:rPr>
        <w:t>4.1</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Pre-Construction Management...................................................................1</w:t>
      </w:r>
      <w:r>
        <w:rPr>
          <w:rFonts w:hint="eastAsia" w:ascii="Times New Roman" w:hAnsi="Times New Roman" w:eastAsia="宋体" w:cs="Times New Roman"/>
          <w:spacing w:val="-2"/>
          <w:position w:val="-3"/>
          <w:sz w:val="24"/>
          <w:szCs w:val="24"/>
          <w:lang w:val="en-US" w:eastAsia="zh-CN"/>
        </w:rPr>
        <w:t>6</w:t>
      </w:r>
    </w:p>
    <w:p w14:paraId="7E1C8B95">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4.2</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In-construction Process Management........................................................1</w:t>
      </w:r>
      <w:r>
        <w:rPr>
          <w:rFonts w:hint="eastAsia" w:ascii="Times New Roman" w:hAnsi="Times New Roman" w:eastAsia="宋体" w:cs="Times New Roman"/>
          <w:spacing w:val="-2"/>
          <w:position w:val="-3"/>
          <w:sz w:val="24"/>
          <w:szCs w:val="24"/>
          <w:lang w:val="en-US" w:eastAsia="zh-CN"/>
        </w:rPr>
        <w:t>7</w:t>
      </w:r>
    </w:p>
    <w:p w14:paraId="1420B107">
      <w:pPr>
        <w:tabs>
          <w:tab w:val="left" w:pos="41"/>
          <w:tab w:val="right" w:leader="dot" w:pos="8310"/>
        </w:tabs>
        <w:spacing w:before="292" w:line="172" w:lineRule="exact"/>
        <w:ind w:left="14" w:firstLine="236" w:firstLineChars="100"/>
        <w:rPr>
          <w:rFonts w:hint="default"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4.3</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Post-construction Management..................................................................</w:t>
      </w:r>
      <w:r>
        <w:rPr>
          <w:rFonts w:hint="eastAsia" w:ascii="Times New Roman" w:hAnsi="Times New Roman" w:eastAsia="宋体" w:cs="Times New Roman"/>
          <w:spacing w:val="-2"/>
          <w:position w:val="-3"/>
          <w:sz w:val="24"/>
          <w:szCs w:val="24"/>
          <w:lang w:val="en-US" w:eastAsia="zh-CN"/>
        </w:rPr>
        <w:t>19</w:t>
      </w:r>
    </w:p>
    <w:p w14:paraId="0BFDAE00">
      <w:pPr>
        <w:tabs>
          <w:tab w:val="left" w:pos="41"/>
          <w:tab w:val="right" w:leader="dot" w:pos="8310"/>
        </w:tabs>
        <w:spacing w:before="292" w:line="172" w:lineRule="exact"/>
        <w:ind w:left="14"/>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5</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Construction Technology ................................................................................ 20</w:t>
      </w:r>
    </w:p>
    <w:p w14:paraId="1E254FC5">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5.1</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General Provisions ................................................................................... 20</w:t>
      </w:r>
    </w:p>
    <w:p w14:paraId="5AA15EE8">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5.2</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Construction Preparation and Temporary Works .................................... 21</w:t>
      </w:r>
    </w:p>
    <w:p w14:paraId="5FDFA50E">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5.3</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Foundation and Substructure Works ......................................................... 23</w:t>
      </w:r>
    </w:p>
    <w:p w14:paraId="2BEA25F3">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5.4</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Main Structure Works ............................................................................... 26</w:t>
      </w:r>
    </w:p>
    <w:p w14:paraId="3E35FC7F">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5.5</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Enclosure Structure Works ........................................................................ 28</w:t>
      </w:r>
    </w:p>
    <w:p w14:paraId="602DE46B">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5.6</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Decoration and Finishing Works ............................................................... 30</w:t>
      </w:r>
    </w:p>
    <w:p w14:paraId="1D0C219D">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5.7</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MEP Installation Works ............................................................................. 32</w:t>
      </w:r>
    </w:p>
    <w:p w14:paraId="09E12E13">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5.8</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Demolition Works ...................................................................................... 36</w:t>
      </w:r>
    </w:p>
    <w:p w14:paraId="698FAA1E">
      <w:pPr>
        <w:tabs>
          <w:tab w:val="left" w:pos="41"/>
          <w:tab w:val="right" w:leader="dot" w:pos="8310"/>
        </w:tabs>
        <w:spacing w:before="292" w:line="172" w:lineRule="exact"/>
        <w:ind w:left="14"/>
        <w:rPr>
          <w:rFonts w:hint="eastAsia" w:ascii="Times New Roman" w:hAnsi="Times New Roman" w:eastAsia="Times New Roman" w:cs="Times New Roman"/>
          <w:spacing w:val="-2"/>
          <w:position w:val="-3"/>
          <w:sz w:val="24"/>
          <w:szCs w:val="24"/>
        </w:rPr>
      </w:pPr>
      <w:r>
        <w:rPr>
          <w:rFonts w:hint="eastAsia" w:ascii="Times New Roman" w:hAnsi="Times New Roman" w:eastAsia="宋体" w:cs="Times New Roman"/>
          <w:spacing w:val="-2"/>
          <w:position w:val="-3"/>
          <w:sz w:val="24"/>
          <w:szCs w:val="24"/>
          <w:lang w:val="en-US" w:eastAsia="zh-CN"/>
        </w:rPr>
        <w:t>6</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Supply Chain Management.................................................................................3</w:t>
      </w:r>
      <w:r>
        <w:rPr>
          <w:rFonts w:hint="eastAsia" w:ascii="Times New Roman" w:hAnsi="Times New Roman" w:eastAsia="宋体" w:cs="Times New Roman"/>
          <w:spacing w:val="-2"/>
          <w:position w:val="-3"/>
          <w:sz w:val="24"/>
          <w:szCs w:val="24"/>
          <w:lang w:val="en-US" w:eastAsia="zh-CN"/>
        </w:rPr>
        <w:t>7</w:t>
      </w:r>
    </w:p>
    <w:p w14:paraId="42450112">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宋体" w:cs="Times New Roman"/>
          <w:spacing w:val="-2"/>
          <w:position w:val="-3"/>
          <w:sz w:val="24"/>
          <w:szCs w:val="24"/>
          <w:lang w:val="en-US" w:eastAsia="zh-CN"/>
        </w:rPr>
        <w:t>6</w:t>
      </w:r>
      <w:r>
        <w:rPr>
          <w:rFonts w:hint="eastAsia" w:ascii="Times New Roman" w:hAnsi="Times New Roman" w:eastAsia="Times New Roman" w:cs="Times New Roman"/>
          <w:spacing w:val="-2"/>
          <w:position w:val="-3"/>
          <w:sz w:val="24"/>
          <w:szCs w:val="24"/>
        </w:rPr>
        <w:t>.1</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General Provisions........................................................................................3</w:t>
      </w:r>
      <w:r>
        <w:rPr>
          <w:rFonts w:hint="eastAsia" w:ascii="Times New Roman" w:hAnsi="Times New Roman" w:eastAsia="宋体" w:cs="Times New Roman"/>
          <w:spacing w:val="-2"/>
          <w:position w:val="-3"/>
          <w:sz w:val="24"/>
          <w:szCs w:val="24"/>
          <w:lang w:val="en-US" w:eastAsia="zh-CN"/>
        </w:rPr>
        <w:t>7</w:t>
      </w:r>
    </w:p>
    <w:p w14:paraId="5D65DBE5">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宋体" w:cs="Times New Roman"/>
          <w:spacing w:val="-2"/>
          <w:position w:val="-3"/>
          <w:sz w:val="24"/>
          <w:szCs w:val="24"/>
          <w:lang w:val="en-US" w:eastAsia="zh-CN"/>
        </w:rPr>
        <w:t>6</w:t>
      </w:r>
      <w:r>
        <w:rPr>
          <w:rFonts w:hint="eastAsia" w:ascii="Times New Roman" w:hAnsi="Times New Roman" w:eastAsia="Times New Roman" w:cs="Times New Roman"/>
          <w:spacing w:val="-2"/>
          <w:position w:val="-3"/>
          <w:sz w:val="24"/>
          <w:szCs w:val="24"/>
        </w:rPr>
        <w:t>.2</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Material Management...................................................................................3</w:t>
      </w:r>
      <w:r>
        <w:rPr>
          <w:rFonts w:hint="eastAsia" w:ascii="Times New Roman" w:hAnsi="Times New Roman" w:eastAsia="宋体" w:cs="Times New Roman"/>
          <w:spacing w:val="-2"/>
          <w:position w:val="-3"/>
          <w:sz w:val="24"/>
          <w:szCs w:val="24"/>
          <w:lang w:val="en-US" w:eastAsia="zh-CN"/>
        </w:rPr>
        <w:t>8</w:t>
      </w:r>
    </w:p>
    <w:p w14:paraId="31378D4C">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宋体" w:cs="Times New Roman"/>
          <w:spacing w:val="-2"/>
          <w:position w:val="-3"/>
          <w:sz w:val="24"/>
          <w:szCs w:val="24"/>
          <w:lang w:val="en-US" w:eastAsia="zh-CN"/>
        </w:rPr>
        <w:t>6</w:t>
      </w:r>
      <w:r>
        <w:rPr>
          <w:rFonts w:hint="eastAsia" w:ascii="Times New Roman" w:hAnsi="Times New Roman" w:eastAsia="Times New Roman" w:cs="Times New Roman"/>
          <w:spacing w:val="-2"/>
          <w:position w:val="-3"/>
          <w:sz w:val="24"/>
          <w:szCs w:val="24"/>
        </w:rPr>
        <w:t>.3</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Supplier Management...................................................................................3</w:t>
      </w:r>
      <w:r>
        <w:rPr>
          <w:rFonts w:hint="eastAsia" w:ascii="Times New Roman" w:hAnsi="Times New Roman" w:eastAsia="宋体" w:cs="Times New Roman"/>
          <w:spacing w:val="-2"/>
          <w:position w:val="-3"/>
          <w:sz w:val="24"/>
          <w:szCs w:val="24"/>
          <w:lang w:val="en-US" w:eastAsia="zh-CN"/>
        </w:rPr>
        <w:t>9</w:t>
      </w:r>
    </w:p>
    <w:p w14:paraId="204112AF">
      <w:pPr>
        <w:tabs>
          <w:tab w:val="left" w:pos="41"/>
          <w:tab w:val="right" w:leader="dot" w:pos="8310"/>
        </w:tabs>
        <w:spacing w:before="292" w:line="172" w:lineRule="exact"/>
        <w:ind w:left="14" w:firstLine="236" w:firstLineChars="100"/>
        <w:rPr>
          <w:rFonts w:hint="default"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6</w:t>
      </w:r>
      <w:r>
        <w:rPr>
          <w:rFonts w:hint="eastAsia" w:ascii="Times New Roman" w:hAnsi="Times New Roman" w:eastAsia="Times New Roman" w:cs="Times New Roman"/>
          <w:spacing w:val="-2"/>
          <w:position w:val="-3"/>
          <w:sz w:val="24"/>
          <w:szCs w:val="24"/>
        </w:rPr>
        <w:t>.4</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Transportation and Warehouse Management...............................................</w:t>
      </w:r>
      <w:r>
        <w:rPr>
          <w:rFonts w:hint="eastAsia" w:ascii="Times New Roman" w:hAnsi="Times New Roman" w:eastAsia="宋体" w:cs="Times New Roman"/>
          <w:spacing w:val="-2"/>
          <w:position w:val="-3"/>
          <w:sz w:val="24"/>
          <w:szCs w:val="24"/>
          <w:lang w:val="en-US" w:eastAsia="zh-CN"/>
        </w:rPr>
        <w:t>40</w:t>
      </w:r>
    </w:p>
    <w:p w14:paraId="54684EF3">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p>
    <w:p w14:paraId="3AE7A7FD">
      <w:pPr>
        <w:tabs>
          <w:tab w:val="left" w:pos="41"/>
          <w:tab w:val="right" w:leader="dot" w:pos="8310"/>
        </w:tabs>
        <w:spacing w:before="292" w:line="172" w:lineRule="exact"/>
        <w:ind w:left="14"/>
        <w:rPr>
          <w:rFonts w:hint="default"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7</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Low-Carbon Construction Assessment ..............................................................</w:t>
      </w:r>
      <w:r>
        <w:rPr>
          <w:rFonts w:hint="eastAsia" w:ascii="Times New Roman" w:hAnsi="Times New Roman" w:eastAsia="宋体" w:cs="Times New Roman"/>
          <w:spacing w:val="-2"/>
          <w:position w:val="-3"/>
          <w:sz w:val="24"/>
          <w:szCs w:val="24"/>
          <w:lang w:val="en-US" w:eastAsia="zh-CN"/>
        </w:rPr>
        <w:t>41</w:t>
      </w:r>
    </w:p>
    <w:p w14:paraId="1BB37B01">
      <w:pPr>
        <w:tabs>
          <w:tab w:val="left" w:pos="41"/>
          <w:tab w:val="right" w:leader="dot" w:pos="8310"/>
        </w:tabs>
        <w:spacing w:before="292" w:line="172" w:lineRule="exact"/>
        <w:ind w:left="14" w:firstLine="236" w:firstLineChars="100"/>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7.1</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Assessment Procedures</w:t>
      </w:r>
      <w:r>
        <w:rPr>
          <w:rFonts w:hint="eastAsia" w:ascii="Times New Roman" w:hAnsi="Times New Roman" w:eastAsia="Times New Roman" w:cs="Times New Roman"/>
          <w:spacing w:val="-2"/>
          <w:position w:val="-3"/>
          <w:sz w:val="24"/>
          <w:szCs w:val="24"/>
          <w:lang w:val="en-US" w:eastAsia="zh-CN"/>
        </w:rPr>
        <w:t xml:space="preserve"> </w:t>
      </w:r>
      <w:r>
        <w:rPr>
          <w:rFonts w:hint="eastAsia" w:ascii="Times New Roman" w:hAnsi="Times New Roman" w:eastAsia="Times New Roman" w:cs="Times New Roman"/>
          <w:spacing w:val="-2"/>
          <w:position w:val="-3"/>
          <w:sz w:val="24"/>
          <w:szCs w:val="24"/>
        </w:rPr>
        <w:t>...............................................................................</w:t>
      </w:r>
      <w:r>
        <w:rPr>
          <w:rFonts w:hint="eastAsia" w:ascii="Times New Roman" w:hAnsi="Times New Roman" w:eastAsia="宋体" w:cs="Times New Roman"/>
          <w:spacing w:val="-2"/>
          <w:position w:val="-3"/>
          <w:sz w:val="24"/>
          <w:szCs w:val="24"/>
          <w:lang w:val="en-US" w:eastAsia="zh-CN"/>
        </w:rPr>
        <w:t>41</w:t>
      </w:r>
    </w:p>
    <w:p w14:paraId="7B85FF6B">
      <w:pPr>
        <w:tabs>
          <w:tab w:val="left" w:pos="41"/>
          <w:tab w:val="right" w:leader="dot" w:pos="8310"/>
        </w:tabs>
        <w:spacing w:before="292" w:line="172" w:lineRule="exact"/>
        <w:ind w:left="14" w:firstLine="236" w:firstLineChars="100"/>
        <w:rPr>
          <w:rFonts w:hint="default"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7.2</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Carbon Emission Sources.............................................................................</w:t>
      </w:r>
      <w:r>
        <w:rPr>
          <w:rFonts w:hint="eastAsia" w:ascii="Times New Roman" w:hAnsi="Times New Roman" w:eastAsia="宋体" w:cs="Times New Roman"/>
          <w:spacing w:val="-2"/>
          <w:position w:val="-3"/>
          <w:sz w:val="24"/>
          <w:szCs w:val="24"/>
          <w:lang w:val="en-US" w:eastAsia="zh-CN"/>
        </w:rPr>
        <w:t>42</w:t>
      </w:r>
    </w:p>
    <w:p w14:paraId="79453133">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7.3</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Carbon Emission Calculation.......................................................................4</w:t>
      </w:r>
      <w:r>
        <w:rPr>
          <w:rFonts w:hint="eastAsia" w:ascii="Times New Roman" w:hAnsi="Times New Roman" w:eastAsia="宋体" w:cs="Times New Roman"/>
          <w:spacing w:val="-2"/>
          <w:position w:val="-3"/>
          <w:sz w:val="24"/>
          <w:szCs w:val="24"/>
          <w:lang w:val="en-US" w:eastAsia="zh-CN"/>
        </w:rPr>
        <w:t>3</w:t>
      </w:r>
    </w:p>
    <w:p w14:paraId="0BACE336">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7.4</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Assessment Indicators..................................................................................4</w:t>
      </w:r>
      <w:r>
        <w:rPr>
          <w:rFonts w:hint="eastAsia" w:ascii="Times New Roman" w:hAnsi="Times New Roman" w:eastAsia="宋体" w:cs="Times New Roman"/>
          <w:spacing w:val="-2"/>
          <w:position w:val="-3"/>
          <w:sz w:val="24"/>
          <w:szCs w:val="24"/>
          <w:lang w:val="en-US" w:eastAsia="zh-CN"/>
        </w:rPr>
        <w:t>5</w:t>
      </w:r>
    </w:p>
    <w:p w14:paraId="7A285486">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7.5</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Assessment Grade Classification.................................................................4</w:t>
      </w:r>
      <w:r>
        <w:rPr>
          <w:rFonts w:hint="eastAsia" w:ascii="Times New Roman" w:hAnsi="Times New Roman" w:eastAsia="宋体" w:cs="Times New Roman"/>
          <w:spacing w:val="-2"/>
          <w:position w:val="-3"/>
          <w:sz w:val="24"/>
          <w:szCs w:val="24"/>
          <w:lang w:val="en-US" w:eastAsia="zh-CN"/>
        </w:rPr>
        <w:t>8</w:t>
      </w:r>
    </w:p>
    <w:p w14:paraId="0C1CA7B1">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Times New Roman" w:cs="Times New Roman"/>
          <w:spacing w:val="-2"/>
          <w:position w:val="-3"/>
          <w:sz w:val="24"/>
          <w:szCs w:val="24"/>
        </w:rPr>
        <w:t>7.6</w:t>
      </w:r>
      <w:r>
        <w:rPr>
          <w:rFonts w:ascii="Times New Roman" w:hAnsi="Times New Roman" w:eastAsia="Times New Roman" w:cs="Times New Roman"/>
          <w:spacing w:val="-2"/>
          <w:position w:val="-3"/>
          <w:sz w:val="24"/>
          <w:szCs w:val="24"/>
        </w:rPr>
        <w:t xml:space="preserve">     </w:t>
      </w:r>
      <w:r>
        <w:rPr>
          <w:rFonts w:hint="eastAsia" w:ascii="Times New Roman" w:hAnsi="Times New Roman" w:eastAsia="Times New Roman" w:cs="Times New Roman"/>
          <w:spacing w:val="-2"/>
          <w:position w:val="-3"/>
          <w:sz w:val="24"/>
          <w:szCs w:val="24"/>
        </w:rPr>
        <w:t>Carbon Sink Offset Management................................................................4</w:t>
      </w:r>
      <w:r>
        <w:rPr>
          <w:rFonts w:hint="eastAsia" w:ascii="Times New Roman" w:hAnsi="Times New Roman" w:eastAsia="宋体" w:cs="Times New Roman"/>
          <w:spacing w:val="-2"/>
          <w:position w:val="-3"/>
          <w:sz w:val="24"/>
          <w:szCs w:val="24"/>
          <w:lang w:val="en-US" w:eastAsia="zh-CN"/>
        </w:rPr>
        <w:t>9</w:t>
      </w:r>
    </w:p>
    <w:p w14:paraId="1DF05F84">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Appendix A Assessment Scenario Analysis ............................................................. 50</w:t>
      </w:r>
    </w:p>
    <w:p w14:paraId="5BBDE6F5">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A.0.1</w:t>
      </w:r>
      <w:r>
        <w:rPr>
          <w:rFonts w:ascii="Times New Roman" w:hAnsi="Times New Roman" w:eastAsia="Times New Roman" w:cs="Times New Roman"/>
          <w:spacing w:val="-2"/>
          <w:position w:val="-3"/>
          <w:sz w:val="24"/>
          <w:szCs w:val="24"/>
        </w:rPr>
        <w:t xml:space="preserve">     </w:t>
      </w:r>
      <w:r>
        <w:rPr>
          <w:rFonts w:hint="eastAsia" w:ascii="Times New Roman" w:hAnsi="Times New Roman" w:eastAsia="宋体" w:cs="Times New Roman"/>
          <w:spacing w:val="-2"/>
          <w:position w:val="-3"/>
          <w:sz w:val="24"/>
          <w:szCs w:val="24"/>
          <w:lang w:val="en-US" w:eastAsia="zh-CN"/>
        </w:rPr>
        <w:t>Detailed Scoring of Scenario 1................................................................50</w:t>
      </w:r>
    </w:p>
    <w:p w14:paraId="73296D76">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A.0.2</w:t>
      </w:r>
      <w:r>
        <w:rPr>
          <w:rFonts w:ascii="Times New Roman" w:hAnsi="Times New Roman" w:eastAsia="Times New Roman" w:cs="Times New Roman"/>
          <w:spacing w:val="-2"/>
          <w:position w:val="-3"/>
          <w:sz w:val="24"/>
          <w:szCs w:val="24"/>
        </w:rPr>
        <w:t xml:space="preserve">     </w:t>
      </w:r>
      <w:r>
        <w:rPr>
          <w:rFonts w:hint="eastAsia" w:ascii="Times New Roman" w:hAnsi="Times New Roman" w:eastAsia="宋体" w:cs="Times New Roman"/>
          <w:spacing w:val="-2"/>
          <w:position w:val="-3"/>
          <w:sz w:val="24"/>
          <w:szCs w:val="24"/>
          <w:lang w:val="en-US" w:eastAsia="zh-CN"/>
        </w:rPr>
        <w:t>Detailed Scoring of Scenario 2............................................................... 51</w:t>
      </w:r>
    </w:p>
    <w:p w14:paraId="70BD1987">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A.0.3</w:t>
      </w:r>
      <w:r>
        <w:rPr>
          <w:rFonts w:ascii="Times New Roman" w:hAnsi="Times New Roman" w:eastAsia="Times New Roman" w:cs="Times New Roman"/>
          <w:spacing w:val="-2"/>
          <w:position w:val="-3"/>
          <w:sz w:val="24"/>
          <w:szCs w:val="24"/>
        </w:rPr>
        <w:t xml:space="preserve">     </w:t>
      </w:r>
      <w:r>
        <w:rPr>
          <w:rFonts w:hint="eastAsia" w:ascii="Times New Roman" w:hAnsi="Times New Roman" w:eastAsia="宋体" w:cs="Times New Roman"/>
          <w:spacing w:val="-2"/>
          <w:position w:val="-3"/>
          <w:sz w:val="24"/>
          <w:szCs w:val="24"/>
          <w:lang w:val="en-US" w:eastAsia="zh-CN"/>
        </w:rPr>
        <w:t>Detailed Scoring of Scenario 3............................................................... 53</w:t>
      </w:r>
    </w:p>
    <w:p w14:paraId="22908531">
      <w:pPr>
        <w:tabs>
          <w:tab w:val="left" w:pos="41"/>
          <w:tab w:val="right" w:leader="dot" w:pos="8310"/>
        </w:tabs>
        <w:spacing w:before="292" w:line="172" w:lineRule="exact"/>
        <w:ind w:left="14"/>
        <w:rPr>
          <w:rFonts w:hint="eastAsia" w:ascii="Times New Roman" w:hAnsi="Times New Roman" w:eastAsia="Times New Roman" w:cs="Times New Roman"/>
          <w:spacing w:val="-2"/>
          <w:position w:val="-3"/>
          <w:sz w:val="24"/>
          <w:szCs w:val="24"/>
        </w:rPr>
      </w:pPr>
      <w:r>
        <w:rPr>
          <w:rFonts w:hint="eastAsia" w:ascii="Times New Roman" w:hAnsi="Times New Roman" w:eastAsia="Times New Roman" w:cs="Times New Roman"/>
          <w:spacing w:val="-2"/>
          <w:position w:val="-3"/>
          <w:sz w:val="24"/>
          <w:szCs w:val="24"/>
        </w:rPr>
        <w:t>Wording Explanation......................................................................................................</w:t>
      </w:r>
      <w:r>
        <w:rPr>
          <w:rFonts w:hint="eastAsia" w:ascii="Times New Roman" w:hAnsi="Times New Roman" w:eastAsia="宋体" w:cs="Times New Roman"/>
          <w:spacing w:val="-2"/>
          <w:position w:val="-3"/>
          <w:sz w:val="24"/>
          <w:szCs w:val="24"/>
          <w:lang w:val="en-US" w:eastAsia="zh-CN"/>
        </w:rPr>
        <w:t>5</w:t>
      </w:r>
      <w:r>
        <w:rPr>
          <w:rFonts w:hint="eastAsia" w:ascii="Times New Roman" w:hAnsi="Times New Roman" w:eastAsia="Times New Roman" w:cs="Times New Roman"/>
          <w:spacing w:val="-2"/>
          <w:position w:val="-3"/>
          <w:sz w:val="24"/>
          <w:szCs w:val="24"/>
        </w:rPr>
        <w:t>5</w:t>
      </w:r>
    </w:p>
    <w:p w14:paraId="690A0311">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List of Quoted andards................................................................................................56</w:t>
      </w:r>
    </w:p>
    <w:p w14:paraId="1A1E16E4">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Explanatory Notes on Technical Standard................................................................ 58</w:t>
      </w:r>
    </w:p>
    <w:p w14:paraId="15114FC7">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Compilation Explanation.......................................................................................... 58</w:t>
      </w:r>
    </w:p>
    <w:p w14:paraId="149F319B">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1</w:t>
      </w:r>
      <w:r>
        <w:rPr>
          <w:rFonts w:ascii="Times New Roman" w:hAnsi="Times New Roman" w:eastAsia="Times New Roman" w:cs="Times New Roman"/>
          <w:spacing w:val="-2"/>
          <w:position w:val="-3"/>
          <w:sz w:val="24"/>
          <w:szCs w:val="24"/>
        </w:rPr>
        <w:t xml:space="preserve">     </w:t>
      </w:r>
      <w:r>
        <w:rPr>
          <w:rFonts w:hint="eastAsia" w:ascii="Times New Roman" w:hAnsi="Times New Roman" w:eastAsia="宋体" w:cs="Times New Roman"/>
          <w:spacing w:val="-2"/>
          <w:position w:val="-3"/>
          <w:sz w:val="24"/>
          <w:szCs w:val="24"/>
          <w:lang w:val="en-US" w:eastAsia="zh-CN"/>
        </w:rPr>
        <w:t>General Provisions ....................................................................................... 59</w:t>
      </w:r>
    </w:p>
    <w:p w14:paraId="7AB2FD8E">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3</w:t>
      </w:r>
      <w:r>
        <w:rPr>
          <w:rFonts w:ascii="Times New Roman" w:hAnsi="Times New Roman" w:eastAsia="Times New Roman" w:cs="Times New Roman"/>
          <w:spacing w:val="-2"/>
          <w:position w:val="-3"/>
          <w:sz w:val="24"/>
          <w:szCs w:val="24"/>
        </w:rPr>
        <w:t xml:space="preserve">     </w:t>
      </w:r>
      <w:r>
        <w:rPr>
          <w:rFonts w:hint="eastAsia" w:ascii="Times New Roman" w:hAnsi="Times New Roman" w:eastAsia="宋体" w:cs="Times New Roman"/>
          <w:spacing w:val="-2"/>
          <w:position w:val="-3"/>
          <w:sz w:val="24"/>
          <w:szCs w:val="24"/>
          <w:lang w:val="en-US" w:eastAsia="zh-CN"/>
        </w:rPr>
        <w:t>Basic Provisions ........................................................................................... 59</w:t>
      </w:r>
    </w:p>
    <w:p w14:paraId="4E88E180">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4</w:t>
      </w:r>
      <w:r>
        <w:rPr>
          <w:rFonts w:ascii="Times New Roman" w:hAnsi="Times New Roman" w:eastAsia="Times New Roman" w:cs="Times New Roman"/>
          <w:spacing w:val="-2"/>
          <w:position w:val="-3"/>
          <w:sz w:val="24"/>
          <w:szCs w:val="24"/>
        </w:rPr>
        <w:t xml:space="preserve">     </w:t>
      </w:r>
      <w:r>
        <w:rPr>
          <w:rFonts w:hint="eastAsia" w:ascii="Times New Roman" w:hAnsi="Times New Roman" w:eastAsia="宋体" w:cs="Times New Roman"/>
          <w:spacing w:val="-2"/>
          <w:position w:val="-3"/>
          <w:sz w:val="24"/>
          <w:szCs w:val="24"/>
          <w:lang w:val="en-US" w:eastAsia="zh-CN"/>
        </w:rPr>
        <w:t>Construction Management ........................................................................... 59</w:t>
      </w:r>
    </w:p>
    <w:p w14:paraId="25252FCF">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5</w:t>
      </w:r>
      <w:r>
        <w:rPr>
          <w:rFonts w:ascii="Times New Roman" w:hAnsi="Times New Roman" w:eastAsia="Times New Roman" w:cs="Times New Roman"/>
          <w:spacing w:val="-2"/>
          <w:position w:val="-3"/>
          <w:sz w:val="24"/>
          <w:szCs w:val="24"/>
        </w:rPr>
        <w:t xml:space="preserve">     </w:t>
      </w:r>
      <w:r>
        <w:rPr>
          <w:rFonts w:hint="eastAsia" w:ascii="Times New Roman" w:hAnsi="Times New Roman" w:eastAsia="宋体" w:cs="Times New Roman"/>
          <w:spacing w:val="-2"/>
          <w:position w:val="-3"/>
          <w:sz w:val="24"/>
          <w:szCs w:val="24"/>
          <w:lang w:val="en-US" w:eastAsia="zh-CN"/>
        </w:rPr>
        <w:t>Construction Technology ............................................................................. 60</w:t>
      </w:r>
    </w:p>
    <w:p w14:paraId="3BFA24A3">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pPr>
      <w:r>
        <w:rPr>
          <w:rFonts w:hint="eastAsia" w:ascii="Times New Roman" w:hAnsi="Times New Roman" w:eastAsia="宋体" w:cs="Times New Roman"/>
          <w:spacing w:val="-2"/>
          <w:position w:val="-3"/>
          <w:sz w:val="24"/>
          <w:szCs w:val="24"/>
          <w:lang w:val="en-US" w:eastAsia="zh-CN"/>
        </w:rPr>
        <w:t>6</w:t>
      </w:r>
      <w:r>
        <w:rPr>
          <w:rFonts w:ascii="Times New Roman" w:hAnsi="Times New Roman" w:eastAsia="Times New Roman" w:cs="Times New Roman"/>
          <w:spacing w:val="-2"/>
          <w:position w:val="-3"/>
          <w:sz w:val="24"/>
          <w:szCs w:val="24"/>
        </w:rPr>
        <w:t xml:space="preserve">     </w:t>
      </w:r>
      <w:r>
        <w:rPr>
          <w:rFonts w:hint="eastAsia" w:ascii="Times New Roman" w:hAnsi="Times New Roman" w:eastAsia="宋体" w:cs="Times New Roman"/>
          <w:spacing w:val="-2"/>
          <w:position w:val="-3"/>
          <w:sz w:val="24"/>
          <w:szCs w:val="24"/>
          <w:lang w:val="en-US" w:eastAsia="zh-CN"/>
        </w:rPr>
        <w:t>Supply Chain Management .......................................................................... 61</w:t>
      </w:r>
    </w:p>
    <w:p w14:paraId="414B7100">
      <w:pPr>
        <w:tabs>
          <w:tab w:val="left" w:pos="41"/>
          <w:tab w:val="right" w:leader="dot" w:pos="8310"/>
        </w:tabs>
        <w:spacing w:before="292" w:line="172" w:lineRule="exact"/>
        <w:ind w:left="14" w:firstLine="236" w:firstLineChars="100"/>
        <w:rPr>
          <w:rFonts w:hint="eastAsia" w:ascii="Times New Roman" w:hAnsi="Times New Roman" w:eastAsia="宋体" w:cs="Times New Roman"/>
          <w:spacing w:val="-2"/>
          <w:position w:val="-3"/>
          <w:sz w:val="24"/>
          <w:szCs w:val="24"/>
          <w:lang w:val="en-US" w:eastAsia="zh-CN"/>
        </w:rPr>
        <w:sectPr>
          <w:footerReference r:id="rId8" w:type="default"/>
          <w:pgSz w:w="11906" w:h="16839"/>
          <w:pgMar w:top="1431" w:right="1785" w:bottom="1152" w:left="1785" w:header="0" w:footer="987" w:gutter="0"/>
          <w:pgNumType w:fmt="decimal"/>
          <w:cols w:space="720" w:num="1"/>
        </w:sectPr>
      </w:pPr>
      <w:r>
        <w:rPr>
          <w:rFonts w:hint="eastAsia" w:ascii="Times New Roman" w:hAnsi="Times New Roman" w:eastAsia="宋体" w:cs="Times New Roman"/>
          <w:spacing w:val="-2"/>
          <w:position w:val="-3"/>
          <w:sz w:val="24"/>
          <w:szCs w:val="24"/>
          <w:lang w:val="en-US" w:eastAsia="zh-CN"/>
        </w:rPr>
        <w:t>7</w:t>
      </w:r>
      <w:r>
        <w:rPr>
          <w:rFonts w:ascii="Times New Roman" w:hAnsi="Times New Roman" w:eastAsia="Times New Roman" w:cs="Times New Roman"/>
          <w:spacing w:val="-2"/>
          <w:position w:val="-3"/>
          <w:sz w:val="24"/>
          <w:szCs w:val="24"/>
        </w:rPr>
        <w:t xml:space="preserve">     </w:t>
      </w:r>
      <w:r>
        <w:rPr>
          <w:rFonts w:hint="eastAsia" w:ascii="Times New Roman" w:hAnsi="Times New Roman" w:eastAsia="宋体" w:cs="Times New Roman"/>
          <w:spacing w:val="-2"/>
          <w:position w:val="-3"/>
          <w:sz w:val="24"/>
          <w:szCs w:val="24"/>
          <w:lang w:val="en-US" w:eastAsia="zh-CN"/>
        </w:rPr>
        <w:t>Low-Carbon Construction Assessment ........................................................ 63</w:t>
      </w:r>
    </w:p>
    <w:p w14:paraId="3D9943F1">
      <w:pPr>
        <w:pStyle w:val="7"/>
      </w:pPr>
    </w:p>
    <w:p w14:paraId="2E4937F8">
      <w:pPr>
        <w:sectPr>
          <w:headerReference r:id="rId9" w:type="default"/>
          <w:footerReference r:id="rId10" w:type="default"/>
          <w:pgSz w:w="11906" w:h="16839"/>
          <w:pgMar w:top="0" w:right="0" w:bottom="0" w:left="0" w:header="0" w:footer="0" w:gutter="0"/>
          <w:pgNumType w:fmt="decimal"/>
          <w:cols w:space="720" w:num="1"/>
        </w:sectPr>
      </w:pPr>
    </w:p>
    <w:p w14:paraId="4F17A7C1">
      <w:pPr>
        <w:pStyle w:val="7"/>
        <w:spacing w:line="281" w:lineRule="auto"/>
      </w:pPr>
    </w:p>
    <w:p w14:paraId="46ED0BF6">
      <w:pPr>
        <w:pStyle w:val="7"/>
        <w:spacing w:line="282" w:lineRule="auto"/>
      </w:pPr>
    </w:p>
    <w:p w14:paraId="38A13AA2">
      <w:pPr>
        <w:pStyle w:val="7"/>
        <w:spacing w:line="282" w:lineRule="auto"/>
      </w:pPr>
    </w:p>
    <w:p w14:paraId="64F03FE4">
      <w:pPr>
        <w:pStyle w:val="7"/>
        <w:spacing w:line="282" w:lineRule="auto"/>
      </w:pPr>
    </w:p>
    <w:p w14:paraId="72F5A2CF">
      <w:pPr>
        <w:pStyle w:val="7"/>
        <w:spacing w:line="282" w:lineRule="auto"/>
      </w:pPr>
    </w:p>
    <w:p w14:paraId="3B4662E1">
      <w:pPr>
        <w:spacing w:before="97" w:line="220" w:lineRule="auto"/>
        <w:ind w:left="3362"/>
        <w:outlineLvl w:val="0"/>
        <w:rPr>
          <w:rFonts w:ascii="宋体" w:hAnsi="宋体" w:eastAsia="宋体" w:cs="宋体"/>
          <w:sz w:val="30"/>
          <w:szCs w:val="30"/>
        </w:rPr>
      </w:pPr>
      <w:bookmarkStart w:id="2" w:name="_Toc32482"/>
      <w:r>
        <w:rPr>
          <w:rFonts w:ascii="Times New Roman" w:hAnsi="Times New Roman" w:eastAsia="Times New Roman" w:cs="Times New Roman"/>
          <w:b/>
          <w:bCs/>
          <w:spacing w:val="-16"/>
          <w:sz w:val="30"/>
          <w:szCs w:val="30"/>
        </w:rPr>
        <w:t>1</w:t>
      </w:r>
      <w:r>
        <w:rPr>
          <w:rFonts w:ascii="Times New Roman" w:hAnsi="Times New Roman" w:eastAsia="Times New Roman" w:cs="Times New Roman"/>
          <w:b/>
          <w:bCs/>
          <w:spacing w:val="3"/>
          <w:sz w:val="30"/>
          <w:szCs w:val="30"/>
        </w:rPr>
        <w:t xml:space="preserve">    </w:t>
      </w:r>
      <w:r>
        <w:rPr>
          <w:rFonts w:ascii="宋体" w:hAnsi="宋体" w:eastAsia="宋体" w:cs="宋体"/>
          <w:b/>
          <w:bCs/>
          <w:spacing w:val="-16"/>
          <w:sz w:val="30"/>
          <w:szCs w:val="30"/>
        </w:rPr>
        <w:t>总</w:t>
      </w:r>
      <w:r>
        <w:rPr>
          <w:rFonts w:ascii="宋体" w:hAnsi="宋体" w:eastAsia="宋体" w:cs="宋体"/>
          <w:spacing w:val="5"/>
          <w:sz w:val="30"/>
          <w:szCs w:val="30"/>
        </w:rPr>
        <w:t xml:space="preserve">    </w:t>
      </w:r>
      <w:r>
        <w:rPr>
          <w:rFonts w:ascii="宋体" w:hAnsi="宋体" w:eastAsia="宋体" w:cs="宋体"/>
          <w:b/>
          <w:bCs/>
          <w:spacing w:val="-16"/>
          <w:sz w:val="30"/>
          <w:szCs w:val="30"/>
        </w:rPr>
        <w:t>则</w:t>
      </w:r>
      <w:bookmarkEnd w:id="2"/>
    </w:p>
    <w:p w14:paraId="04A1E853">
      <w:pPr>
        <w:pStyle w:val="7"/>
        <w:spacing w:line="448" w:lineRule="auto"/>
      </w:pPr>
    </w:p>
    <w:p w14:paraId="6CE75BDA">
      <w:pPr>
        <w:spacing w:before="78" w:line="360" w:lineRule="auto"/>
        <w:ind w:left="25" w:right="13" w:firstLine="4"/>
        <w:rPr>
          <w:rFonts w:ascii="宋体" w:hAnsi="宋体" w:eastAsia="宋体" w:cs="宋体"/>
          <w:sz w:val="24"/>
          <w:szCs w:val="24"/>
        </w:rPr>
      </w:pPr>
      <w:r>
        <w:rPr>
          <w:rFonts w:ascii="Times New Roman" w:hAnsi="Times New Roman" w:eastAsia="Times New Roman" w:cs="Times New Roman"/>
          <w:b/>
          <w:bCs/>
          <w:spacing w:val="-3"/>
          <w:sz w:val="24"/>
          <w:szCs w:val="24"/>
        </w:rPr>
        <w:t xml:space="preserve">1.0.1    </w:t>
      </w:r>
      <w:r>
        <w:rPr>
          <w:rFonts w:ascii="宋体" w:hAnsi="宋体" w:eastAsia="宋体" w:cs="宋体"/>
          <w:spacing w:val="-3"/>
          <w:sz w:val="24"/>
          <w:szCs w:val="24"/>
        </w:rPr>
        <w:t>为</w:t>
      </w:r>
      <w:r>
        <w:rPr>
          <w:rFonts w:hint="eastAsia" w:ascii="宋体" w:hAnsi="宋体" w:eastAsia="宋体" w:cs="宋体"/>
          <w:spacing w:val="-3"/>
          <w:sz w:val="24"/>
          <w:szCs w:val="24"/>
        </w:rPr>
        <w:t>落实“碳达峰、碳中和”目标，规范建筑施工阶段减碳行为，降低建造过程碳排放占比，推动建筑业绿色转型，制定本标准</w:t>
      </w:r>
      <w:r>
        <w:rPr>
          <w:rFonts w:ascii="宋体" w:hAnsi="宋体" w:eastAsia="宋体" w:cs="宋体"/>
          <w:spacing w:val="-2"/>
          <w:sz w:val="24"/>
          <w:szCs w:val="24"/>
        </w:rPr>
        <w:t>。</w:t>
      </w:r>
    </w:p>
    <w:p w14:paraId="6488514F">
      <w:pPr>
        <w:spacing w:line="360" w:lineRule="auto"/>
        <w:ind w:left="23" w:right="13" w:firstLine="6"/>
        <w:rPr>
          <w:rFonts w:ascii="宋体" w:hAnsi="宋体" w:eastAsia="宋体" w:cs="宋体"/>
          <w:sz w:val="24"/>
          <w:szCs w:val="24"/>
        </w:rPr>
      </w:pPr>
      <w:r>
        <w:rPr>
          <w:rFonts w:ascii="Times New Roman" w:hAnsi="Times New Roman" w:eastAsia="Times New Roman" w:cs="Times New Roman"/>
          <w:b/>
          <w:bCs/>
          <w:spacing w:val="-3"/>
          <w:sz w:val="24"/>
          <w:szCs w:val="24"/>
        </w:rPr>
        <w:t xml:space="preserve">1.0.2    </w:t>
      </w:r>
      <w:r>
        <w:rPr>
          <w:rFonts w:ascii="宋体" w:hAnsi="宋体" w:eastAsia="宋体" w:cs="宋体"/>
          <w:spacing w:val="-3"/>
          <w:sz w:val="24"/>
          <w:szCs w:val="24"/>
        </w:rPr>
        <w:t>本</w:t>
      </w:r>
      <w:r>
        <w:rPr>
          <w:rFonts w:hint="eastAsia" w:ascii="宋体" w:hAnsi="宋体" w:eastAsia="宋体" w:cs="宋体"/>
          <w:spacing w:val="-3"/>
          <w:sz w:val="24"/>
          <w:szCs w:val="24"/>
          <w:lang w:eastAsia="zh-CN"/>
        </w:rPr>
        <w:t>标准</w:t>
      </w:r>
      <w:r>
        <w:rPr>
          <w:rFonts w:ascii="宋体" w:hAnsi="宋体" w:eastAsia="宋体" w:cs="宋体"/>
          <w:spacing w:val="-3"/>
          <w:sz w:val="24"/>
          <w:szCs w:val="24"/>
        </w:rPr>
        <w:t>适用于</w:t>
      </w:r>
      <w:r>
        <w:rPr>
          <w:rFonts w:hint="eastAsia" w:ascii="宋体" w:hAnsi="宋体" w:eastAsia="宋体" w:cs="宋体"/>
          <w:spacing w:val="-3"/>
          <w:sz w:val="24"/>
          <w:szCs w:val="24"/>
        </w:rPr>
        <w:t>新建、扩建、改建建筑的低碳、近零碳、零碳施工全过程，涵盖民用建筑及工业建筑配套设施</w:t>
      </w:r>
      <w:r>
        <w:rPr>
          <w:rFonts w:ascii="宋体" w:hAnsi="宋体" w:eastAsia="宋体" w:cs="宋体"/>
          <w:spacing w:val="-2"/>
          <w:sz w:val="24"/>
          <w:szCs w:val="24"/>
        </w:rPr>
        <w:t>。</w:t>
      </w:r>
    </w:p>
    <w:p w14:paraId="7DCDECA3">
      <w:pPr>
        <w:spacing w:before="1" w:line="361" w:lineRule="auto"/>
        <w:ind w:left="23" w:right="13" w:firstLine="6"/>
        <w:rPr>
          <w:rFonts w:ascii="宋体" w:hAnsi="宋体" w:eastAsia="宋体" w:cs="宋体"/>
          <w:sz w:val="24"/>
          <w:szCs w:val="24"/>
        </w:rPr>
      </w:pPr>
      <w:r>
        <w:rPr>
          <w:rFonts w:ascii="Times New Roman" w:hAnsi="Times New Roman" w:eastAsia="Times New Roman" w:cs="Times New Roman"/>
          <w:b/>
          <w:bCs/>
          <w:spacing w:val="-3"/>
          <w:sz w:val="24"/>
          <w:szCs w:val="24"/>
        </w:rPr>
        <w:t xml:space="preserve">1.0.3    </w:t>
      </w:r>
      <w:r>
        <w:rPr>
          <w:rFonts w:hint="eastAsia" w:ascii="宋体" w:hAnsi="宋体" w:eastAsia="宋体" w:cs="宋体"/>
          <w:spacing w:val="-3"/>
          <w:sz w:val="24"/>
          <w:szCs w:val="24"/>
        </w:rPr>
        <w:t>建筑低碳、近零碳、零碳施工除应符合本标准外，尚应符合国家现行有关标准的规定</w:t>
      </w:r>
      <w:r>
        <w:rPr>
          <w:rFonts w:ascii="宋体" w:hAnsi="宋体" w:eastAsia="宋体" w:cs="宋体"/>
          <w:spacing w:val="-1"/>
          <w:sz w:val="24"/>
          <w:szCs w:val="24"/>
        </w:rPr>
        <w:t>。</w:t>
      </w:r>
    </w:p>
    <w:p w14:paraId="4332FAAB">
      <w:pPr>
        <w:spacing w:line="361" w:lineRule="auto"/>
        <w:rPr>
          <w:rFonts w:ascii="宋体" w:hAnsi="宋体" w:eastAsia="宋体" w:cs="宋体"/>
          <w:sz w:val="24"/>
          <w:szCs w:val="24"/>
        </w:rPr>
        <w:sectPr>
          <w:footerReference r:id="rId11" w:type="default"/>
          <w:pgSz w:w="11906" w:h="16839"/>
          <w:pgMar w:top="400" w:right="1785" w:bottom="1151" w:left="1785" w:header="0" w:footer="987" w:gutter="0"/>
          <w:pgNumType w:fmt="decimal"/>
          <w:cols w:space="720" w:num="1"/>
        </w:sectPr>
      </w:pPr>
    </w:p>
    <w:p w14:paraId="17087B02">
      <w:pPr>
        <w:pStyle w:val="7"/>
        <w:spacing w:line="281" w:lineRule="auto"/>
      </w:pPr>
    </w:p>
    <w:p w14:paraId="78445FE8">
      <w:pPr>
        <w:pStyle w:val="7"/>
        <w:spacing w:line="282" w:lineRule="auto"/>
      </w:pPr>
    </w:p>
    <w:p w14:paraId="2E45D553">
      <w:pPr>
        <w:pStyle w:val="7"/>
        <w:spacing w:line="282" w:lineRule="auto"/>
      </w:pPr>
    </w:p>
    <w:p w14:paraId="09C91E9D">
      <w:pPr>
        <w:pStyle w:val="7"/>
        <w:spacing w:line="282" w:lineRule="auto"/>
      </w:pPr>
    </w:p>
    <w:p w14:paraId="7E1CE5F1">
      <w:pPr>
        <w:pStyle w:val="7"/>
        <w:spacing w:line="282" w:lineRule="auto"/>
      </w:pPr>
    </w:p>
    <w:p w14:paraId="657C6F44">
      <w:pPr>
        <w:spacing w:before="98" w:line="219" w:lineRule="auto"/>
        <w:ind w:left="3201"/>
        <w:outlineLvl w:val="0"/>
        <w:rPr>
          <w:rFonts w:ascii="宋体" w:hAnsi="宋体" w:eastAsia="宋体" w:cs="宋体"/>
          <w:sz w:val="30"/>
          <w:szCs w:val="30"/>
        </w:rPr>
      </w:pPr>
      <w:bookmarkStart w:id="3" w:name="bookmark69"/>
      <w:bookmarkEnd w:id="3"/>
      <w:bookmarkStart w:id="4" w:name="_Toc991"/>
      <w:r>
        <w:rPr>
          <w:rFonts w:ascii="Times New Roman" w:hAnsi="Times New Roman" w:eastAsia="Times New Roman" w:cs="Times New Roman"/>
          <w:b/>
          <w:bCs/>
          <w:spacing w:val="-3"/>
          <w:sz w:val="30"/>
          <w:szCs w:val="30"/>
        </w:rPr>
        <w:t xml:space="preserve">2    </w:t>
      </w:r>
      <w:r>
        <w:rPr>
          <w:rFonts w:ascii="宋体" w:hAnsi="宋体" w:eastAsia="宋体" w:cs="宋体"/>
          <w:b/>
          <w:bCs/>
          <w:spacing w:val="-3"/>
          <w:sz w:val="30"/>
          <w:szCs w:val="30"/>
        </w:rPr>
        <w:t>术语和符号</w:t>
      </w:r>
      <w:bookmarkEnd w:id="4"/>
    </w:p>
    <w:p w14:paraId="72259285">
      <w:pPr>
        <w:pStyle w:val="7"/>
        <w:spacing w:line="247" w:lineRule="auto"/>
      </w:pPr>
    </w:p>
    <w:p w14:paraId="64EA6E43">
      <w:pPr>
        <w:pStyle w:val="7"/>
        <w:spacing w:line="247" w:lineRule="auto"/>
      </w:pPr>
    </w:p>
    <w:p w14:paraId="4EA37F12">
      <w:pPr>
        <w:spacing w:before="91" w:line="223" w:lineRule="auto"/>
        <w:ind w:left="3323"/>
        <w:outlineLvl w:val="1"/>
        <w:rPr>
          <w:rFonts w:ascii="黑体" w:hAnsi="黑体" w:eastAsia="黑体" w:cs="黑体"/>
          <w:sz w:val="28"/>
          <w:szCs w:val="28"/>
        </w:rPr>
      </w:pPr>
      <w:bookmarkStart w:id="5" w:name="bookmark134"/>
      <w:bookmarkEnd w:id="5"/>
      <w:bookmarkStart w:id="6" w:name="_Toc28652"/>
      <w:r>
        <w:rPr>
          <w:rFonts w:ascii="黑体" w:hAnsi="黑体" w:eastAsia="黑体" w:cs="黑体"/>
          <w:b/>
          <w:bCs/>
          <w:spacing w:val="-6"/>
          <w:sz w:val="24"/>
          <w:szCs w:val="24"/>
        </w:rPr>
        <w:t>2.1</w:t>
      </w:r>
      <w:r>
        <w:rPr>
          <w:rFonts w:ascii="黑体" w:hAnsi="黑体" w:eastAsia="黑体" w:cs="黑体"/>
          <w:spacing w:val="105"/>
          <w:sz w:val="24"/>
          <w:szCs w:val="24"/>
        </w:rPr>
        <w:t xml:space="preserve"> </w:t>
      </w:r>
      <w:r>
        <w:rPr>
          <w:rFonts w:ascii="黑体" w:hAnsi="黑体" w:eastAsia="黑体" w:cs="黑体"/>
          <w:b/>
          <w:bCs/>
          <w:spacing w:val="-6"/>
          <w:sz w:val="28"/>
          <w:szCs w:val="28"/>
        </w:rPr>
        <w:t>术</w:t>
      </w:r>
      <w:r>
        <w:rPr>
          <w:rFonts w:hint="eastAsia" w:ascii="黑体" w:hAnsi="黑体" w:eastAsia="黑体" w:cs="黑体"/>
          <w:b/>
          <w:bCs/>
          <w:spacing w:val="-6"/>
          <w:sz w:val="28"/>
          <w:szCs w:val="28"/>
          <w:lang w:val="en-US" w:eastAsia="zh-CN"/>
        </w:rPr>
        <w:t xml:space="preserve">  </w:t>
      </w:r>
      <w:r>
        <w:rPr>
          <w:rFonts w:ascii="黑体" w:hAnsi="黑体" w:eastAsia="黑体" w:cs="黑体"/>
          <w:b/>
          <w:bCs/>
          <w:spacing w:val="-6"/>
          <w:sz w:val="28"/>
          <w:szCs w:val="28"/>
        </w:rPr>
        <w:t>语</w:t>
      </w:r>
      <w:bookmarkEnd w:id="6"/>
    </w:p>
    <w:p w14:paraId="6C0C276D">
      <w:pPr>
        <w:pStyle w:val="7"/>
        <w:spacing w:line="458" w:lineRule="auto"/>
      </w:pPr>
    </w:p>
    <w:p w14:paraId="472E5DEE">
      <w:pPr>
        <w:spacing w:before="78" w:line="212" w:lineRule="auto"/>
        <w:ind w:left="19"/>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2.1.1    </w:t>
      </w:r>
      <w:r>
        <w:rPr>
          <w:rFonts w:hint="eastAsia" w:ascii="宋体" w:hAnsi="宋体" w:eastAsia="宋体" w:cs="宋体"/>
          <w:sz w:val="24"/>
          <w:szCs w:val="24"/>
        </w:rPr>
        <w:t xml:space="preserve">低碳施工  </w:t>
      </w:r>
      <w:r>
        <w:rPr>
          <w:rFonts w:hint="eastAsia" w:ascii="Times New Roman" w:hAnsi="Times New Roman" w:eastAsia="Times New Roman" w:cs="Times New Roman"/>
          <w:sz w:val="24"/>
          <w:szCs w:val="24"/>
        </w:rPr>
        <w:t xml:space="preserve"> Low-carbon Construction</w:t>
      </w:r>
    </w:p>
    <w:p w14:paraId="013EA0E7">
      <w:pPr>
        <w:spacing w:before="192" w:line="360" w:lineRule="auto"/>
        <w:ind w:left="27" w:right="200" w:firstLine="479"/>
        <w:rPr>
          <w:rFonts w:ascii="宋体" w:hAnsi="宋体" w:eastAsia="宋体" w:cs="宋体"/>
          <w:sz w:val="24"/>
          <w:szCs w:val="24"/>
        </w:rPr>
      </w:pPr>
      <w:r>
        <w:rPr>
          <w:rFonts w:hint="eastAsia" w:ascii="宋体" w:hAnsi="宋体" w:eastAsia="宋体" w:cs="宋体"/>
          <w:spacing w:val="-3"/>
          <w:sz w:val="24"/>
          <w:szCs w:val="24"/>
        </w:rPr>
        <w:t>采用集约化管理，高效施工工艺，使用可再生能源、节能设备，减少资源</w:t>
      </w:r>
      <w:r>
        <w:rPr>
          <w:rFonts w:hint="eastAsia" w:ascii="宋体" w:hAnsi="宋体" w:eastAsia="宋体" w:cs="宋体"/>
          <w:spacing w:val="-3"/>
          <w:sz w:val="24"/>
          <w:szCs w:val="24"/>
          <w:lang w:eastAsia="zh-CN"/>
        </w:rPr>
        <w:t>能源消耗</w:t>
      </w:r>
      <w:r>
        <w:rPr>
          <w:rFonts w:hint="eastAsia" w:ascii="宋体" w:hAnsi="宋体" w:eastAsia="宋体" w:cs="宋体"/>
          <w:spacing w:val="-3"/>
          <w:sz w:val="24"/>
          <w:szCs w:val="24"/>
        </w:rPr>
        <w:t>和碳排放，实现施工过程碳排放量明显低于常规施工的施工活动</w:t>
      </w:r>
      <w:r>
        <w:rPr>
          <w:rFonts w:ascii="宋体" w:hAnsi="宋体" w:eastAsia="宋体" w:cs="宋体"/>
          <w:spacing w:val="-1"/>
          <w:sz w:val="24"/>
          <w:szCs w:val="24"/>
        </w:rPr>
        <w:t>。</w:t>
      </w:r>
    </w:p>
    <w:p w14:paraId="6082D51A">
      <w:pPr>
        <w:spacing w:line="212" w:lineRule="auto"/>
        <w:ind w:left="19"/>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2.1.2    </w:t>
      </w:r>
      <w:r>
        <w:rPr>
          <w:rFonts w:hint="eastAsia" w:ascii="宋体" w:hAnsi="宋体" w:eastAsia="宋体" w:cs="宋体"/>
          <w:sz w:val="24"/>
          <w:szCs w:val="24"/>
        </w:rPr>
        <w:t>近零碳施工</w:t>
      </w:r>
      <w:r>
        <w:rPr>
          <w:rFonts w:ascii="宋体" w:hAnsi="宋体" w:eastAsia="宋体" w:cs="宋体"/>
          <w:sz w:val="24"/>
          <w:szCs w:val="24"/>
        </w:rPr>
        <w:t xml:space="preserve">  </w:t>
      </w:r>
      <w:r>
        <w:rPr>
          <w:rFonts w:hint="eastAsia" w:ascii="Times New Roman" w:hAnsi="Times New Roman" w:eastAsia="Times New Roman" w:cs="Times New Roman"/>
          <w:sz w:val="24"/>
          <w:szCs w:val="24"/>
        </w:rPr>
        <w:t>Near-zero Carbon Construction</w:t>
      </w:r>
    </w:p>
    <w:p w14:paraId="24EC7E23">
      <w:pPr>
        <w:spacing w:before="192" w:line="360" w:lineRule="auto"/>
        <w:ind w:left="43" w:right="200" w:firstLine="465"/>
        <w:rPr>
          <w:rFonts w:ascii="宋体" w:hAnsi="宋体" w:eastAsia="宋体" w:cs="宋体"/>
          <w:sz w:val="24"/>
          <w:szCs w:val="24"/>
        </w:rPr>
      </w:pPr>
      <w:r>
        <w:rPr>
          <w:rFonts w:hint="eastAsia" w:ascii="宋体" w:hAnsi="宋体" w:eastAsia="宋体" w:cs="宋体"/>
          <w:spacing w:val="-3"/>
          <w:sz w:val="24"/>
          <w:szCs w:val="24"/>
        </w:rPr>
        <w:t>在低碳施工基础上，进一步优化和提升减碳措施，并可结合绿色电力交易、绿色电力证书交易与碳排放权交易，实现施工过程碳排放量接近零的施工活动</w:t>
      </w:r>
      <w:r>
        <w:rPr>
          <w:rFonts w:ascii="宋体" w:hAnsi="宋体" w:eastAsia="宋体" w:cs="宋体"/>
          <w:spacing w:val="-5"/>
          <w:sz w:val="24"/>
          <w:szCs w:val="24"/>
        </w:rPr>
        <w:t>。</w:t>
      </w:r>
    </w:p>
    <w:p w14:paraId="701DD60C">
      <w:pPr>
        <w:spacing w:line="220" w:lineRule="auto"/>
        <w:ind w:left="19"/>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2.1.3    </w:t>
      </w:r>
      <w:r>
        <w:rPr>
          <w:rFonts w:hint="eastAsia" w:ascii="宋体" w:hAnsi="宋体" w:eastAsia="宋体" w:cs="宋体"/>
          <w:sz w:val="24"/>
          <w:szCs w:val="24"/>
        </w:rPr>
        <w:t xml:space="preserve">零碳施工  </w:t>
      </w:r>
      <w:r>
        <w:rPr>
          <w:rFonts w:hint="eastAsia" w:ascii="Times New Roman" w:hAnsi="Times New Roman" w:eastAsia="Times New Roman" w:cs="Times New Roman"/>
          <w:sz w:val="24"/>
          <w:szCs w:val="24"/>
        </w:rPr>
        <w:t>Zero Carbon Construction</w:t>
      </w:r>
    </w:p>
    <w:p w14:paraId="28FBB955">
      <w:pPr>
        <w:spacing w:before="193" w:line="219" w:lineRule="auto"/>
        <w:ind w:left="503"/>
        <w:rPr>
          <w:rFonts w:ascii="宋体" w:hAnsi="宋体" w:eastAsia="宋体" w:cs="宋体"/>
          <w:sz w:val="24"/>
          <w:szCs w:val="24"/>
        </w:rPr>
      </w:pPr>
      <w:r>
        <w:rPr>
          <w:rFonts w:hint="eastAsia" w:ascii="宋体" w:hAnsi="宋体" w:eastAsia="宋体" w:cs="宋体"/>
          <w:spacing w:val="-3"/>
          <w:sz w:val="24"/>
          <w:szCs w:val="24"/>
        </w:rPr>
        <w:t>在近零碳施工基础上，充分挖掘减碳潜力，并可结合绿色电力交易、绿色</w:t>
      </w:r>
      <w:r>
        <w:rPr>
          <w:rFonts w:hint="eastAsia" w:ascii="宋体" w:hAnsi="宋体" w:eastAsia="宋体" w:cs="宋体"/>
          <w:spacing w:val="-3"/>
          <w:sz w:val="24"/>
          <w:szCs w:val="24"/>
          <w:lang w:eastAsia="zh-CN"/>
        </w:rPr>
        <w:t>电力</w:t>
      </w:r>
      <w:r>
        <w:rPr>
          <w:rFonts w:hint="eastAsia" w:ascii="宋体" w:hAnsi="宋体" w:eastAsia="宋体" w:cs="宋体"/>
          <w:spacing w:val="-3"/>
          <w:sz w:val="24"/>
          <w:szCs w:val="24"/>
        </w:rPr>
        <w:t>证书交易与碳排放权交易，实现施工过程净碳排放量不大于零的施工活动</w:t>
      </w:r>
      <w:r>
        <w:rPr>
          <w:rFonts w:ascii="宋体" w:hAnsi="宋体" w:eastAsia="宋体" w:cs="宋体"/>
          <w:spacing w:val="-2"/>
          <w:sz w:val="24"/>
          <w:szCs w:val="24"/>
        </w:rPr>
        <w:t>。</w:t>
      </w:r>
    </w:p>
    <w:p w14:paraId="2C2FA788">
      <w:pPr>
        <w:spacing w:before="183" w:line="212" w:lineRule="auto"/>
        <w:ind w:left="19"/>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w:t>
      </w:r>
      <w:r>
        <w:rPr>
          <w:rFonts w:hint="eastAsia" w:ascii="Times New Roman" w:hAnsi="Times New Roman" w:eastAsia="Times New Roman" w:cs="Times New Roman"/>
          <w:b/>
          <w:bCs/>
          <w:sz w:val="24"/>
          <w:szCs w:val="24"/>
        </w:rPr>
        <w:t>4</w:t>
      </w:r>
      <w:r>
        <w:rPr>
          <w:rFonts w:ascii="Times New Roman" w:hAnsi="Times New Roman" w:eastAsia="Times New Roman" w:cs="Times New Roman"/>
          <w:b/>
          <w:bCs/>
          <w:sz w:val="24"/>
          <w:szCs w:val="24"/>
        </w:rPr>
        <w:t xml:space="preserve">    </w:t>
      </w:r>
      <w:r>
        <w:rPr>
          <w:rFonts w:hint="eastAsia" w:ascii="宋体" w:hAnsi="宋体" w:eastAsia="宋体" w:cs="宋体"/>
          <w:sz w:val="24"/>
          <w:szCs w:val="24"/>
        </w:rPr>
        <w:t xml:space="preserve">电气化率  </w:t>
      </w:r>
      <w:r>
        <w:rPr>
          <w:rFonts w:hint="eastAsia" w:ascii="Times New Roman" w:hAnsi="Times New Roman" w:eastAsia="Times New Roman" w:cs="Times New Roman"/>
          <w:sz w:val="24"/>
          <w:szCs w:val="24"/>
        </w:rPr>
        <w:t>Electrification Rate</w:t>
      </w:r>
    </w:p>
    <w:p w14:paraId="19F35239">
      <w:pPr>
        <w:spacing w:before="192" w:line="360" w:lineRule="auto"/>
        <w:ind w:left="24" w:right="200" w:firstLine="484"/>
        <w:jc w:val="both"/>
        <w:rPr>
          <w:rFonts w:ascii="宋体" w:hAnsi="宋体" w:eastAsia="宋体" w:cs="宋体"/>
          <w:sz w:val="24"/>
          <w:szCs w:val="24"/>
        </w:rPr>
      </w:pPr>
      <w:r>
        <w:rPr>
          <w:rFonts w:hint="eastAsia" w:ascii="宋体" w:hAnsi="宋体" w:eastAsia="宋体" w:cs="宋体"/>
          <w:spacing w:val="-3"/>
          <w:sz w:val="24"/>
          <w:szCs w:val="24"/>
        </w:rPr>
        <w:t>施工现场或办公生活区电力能源消费与终端全部能源消费转化为等效电力后的比值</w:t>
      </w:r>
      <w:r>
        <w:rPr>
          <w:rFonts w:ascii="宋体" w:hAnsi="宋体" w:eastAsia="宋体" w:cs="宋体"/>
          <w:spacing w:val="-2"/>
          <w:sz w:val="24"/>
          <w:szCs w:val="24"/>
        </w:rPr>
        <w:t>。</w:t>
      </w:r>
    </w:p>
    <w:p w14:paraId="27FC6255">
      <w:pPr>
        <w:spacing w:before="230" w:line="192" w:lineRule="auto"/>
        <w:ind w:left="22"/>
        <w:rPr>
          <w:rFonts w:ascii="Times New Roman" w:hAnsi="Times New Roman" w:eastAsia="Times New Roman" w:cs="Times New Roman"/>
          <w:sz w:val="24"/>
          <w:szCs w:val="24"/>
        </w:rPr>
      </w:pPr>
      <w:r>
        <w:rPr>
          <w:rFonts w:ascii="Times New Roman" w:hAnsi="Times New Roman" w:eastAsia="Times New Roman" w:cs="Times New Roman"/>
          <w:b/>
          <w:bCs/>
          <w:spacing w:val="7"/>
          <w:sz w:val="24"/>
          <w:szCs w:val="24"/>
        </w:rPr>
        <w:t>2.1.</w:t>
      </w:r>
      <w:r>
        <w:rPr>
          <w:rFonts w:hint="eastAsia" w:ascii="Times New Roman" w:hAnsi="Times New Roman" w:eastAsia="Times New Roman" w:cs="Times New Roman"/>
          <w:b/>
          <w:bCs/>
          <w:spacing w:val="7"/>
          <w:sz w:val="24"/>
          <w:szCs w:val="24"/>
        </w:rPr>
        <w:t>5</w:t>
      </w:r>
      <w:r>
        <w:rPr>
          <w:rFonts w:ascii="Times New Roman" w:hAnsi="Times New Roman" w:eastAsia="Times New Roman" w:cs="Times New Roman"/>
          <w:b/>
          <w:bCs/>
          <w:spacing w:val="7"/>
          <w:sz w:val="24"/>
          <w:szCs w:val="24"/>
        </w:rPr>
        <w:t xml:space="preserve">    </w:t>
      </w:r>
      <w:r>
        <w:rPr>
          <w:rFonts w:hint="eastAsia" w:ascii="宋体" w:hAnsi="宋体" w:eastAsia="宋体" w:cs="宋体"/>
          <w:spacing w:val="7"/>
          <w:sz w:val="24"/>
          <w:szCs w:val="24"/>
        </w:rPr>
        <w:t>碳排放权交易</w:t>
      </w:r>
      <w:r>
        <w:rPr>
          <w:rFonts w:ascii="宋体" w:hAnsi="宋体" w:eastAsia="宋体" w:cs="宋体"/>
          <w:spacing w:val="6"/>
          <w:sz w:val="24"/>
          <w:szCs w:val="24"/>
        </w:rPr>
        <w:t xml:space="preserve">  </w:t>
      </w:r>
      <w:r>
        <w:rPr>
          <w:rFonts w:hint="eastAsia" w:ascii="Times New Roman" w:hAnsi="Times New Roman" w:eastAsia="Times New Roman" w:cs="Times New Roman"/>
          <w:sz w:val="24"/>
          <w:szCs w:val="24"/>
        </w:rPr>
        <w:t>Carbon Emissions Trading</w:t>
      </w:r>
    </w:p>
    <w:p w14:paraId="579847CF">
      <w:pPr>
        <w:spacing w:before="210" w:line="219" w:lineRule="auto"/>
        <w:ind w:firstLine="464" w:firstLineChars="200"/>
        <w:jc w:val="left"/>
        <w:rPr>
          <w:rFonts w:ascii="宋体" w:hAnsi="宋体" w:eastAsia="宋体" w:cs="宋体"/>
          <w:sz w:val="24"/>
          <w:szCs w:val="24"/>
        </w:rPr>
      </w:pPr>
      <w:r>
        <w:rPr>
          <w:rFonts w:hint="eastAsia" w:ascii="宋体" w:hAnsi="宋体" w:eastAsia="宋体" w:cs="宋体"/>
          <w:spacing w:val="-4"/>
          <w:sz w:val="24"/>
          <w:szCs w:val="24"/>
        </w:rPr>
        <w:t>以控制温室气体排放为目的，以温室气体排放权配额或温室气体减排信用为标的物所进行的市场交易</w:t>
      </w:r>
      <w:r>
        <w:rPr>
          <w:rFonts w:ascii="宋体" w:hAnsi="宋体" w:eastAsia="宋体" w:cs="宋体"/>
          <w:spacing w:val="-5"/>
          <w:sz w:val="24"/>
          <w:szCs w:val="24"/>
        </w:rPr>
        <w:t>。</w:t>
      </w:r>
    </w:p>
    <w:p w14:paraId="43EDDB35">
      <w:pPr>
        <w:spacing w:before="183" w:line="212" w:lineRule="auto"/>
        <w:ind w:left="19"/>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w:t>
      </w:r>
      <w:r>
        <w:rPr>
          <w:rFonts w:hint="eastAsia" w:ascii="Times New Roman" w:hAnsi="Times New Roman" w:eastAsia="Times New Roman" w:cs="Times New Roman"/>
          <w:b/>
          <w:bCs/>
          <w:sz w:val="24"/>
          <w:szCs w:val="24"/>
        </w:rPr>
        <w:t>6</w:t>
      </w:r>
      <w:r>
        <w:rPr>
          <w:rFonts w:ascii="Times New Roman" w:hAnsi="Times New Roman" w:eastAsia="Times New Roman" w:cs="Times New Roman"/>
          <w:b/>
          <w:bCs/>
          <w:sz w:val="24"/>
          <w:szCs w:val="24"/>
        </w:rPr>
        <w:t xml:space="preserve">    </w:t>
      </w:r>
      <w:r>
        <w:rPr>
          <w:rFonts w:hint="eastAsia" w:ascii="宋体" w:hAnsi="宋体" w:eastAsia="宋体" w:cs="宋体"/>
          <w:sz w:val="24"/>
          <w:szCs w:val="24"/>
        </w:rPr>
        <w:t>绿色电力交易</w:t>
      </w:r>
      <w:r>
        <w:rPr>
          <w:rFonts w:ascii="宋体" w:hAnsi="宋体" w:eastAsia="宋体" w:cs="宋体"/>
          <w:sz w:val="24"/>
          <w:szCs w:val="24"/>
        </w:rPr>
        <w:t xml:space="preserve">  </w:t>
      </w:r>
      <w:r>
        <w:rPr>
          <w:rFonts w:hint="eastAsia" w:ascii="Times New Roman" w:hAnsi="Times New Roman" w:eastAsia="Times New Roman" w:cs="Times New Roman"/>
          <w:sz w:val="24"/>
          <w:szCs w:val="24"/>
        </w:rPr>
        <w:t>Green Electricity Trade</w:t>
      </w:r>
    </w:p>
    <w:p w14:paraId="47F1F913">
      <w:pPr>
        <w:spacing w:before="210" w:line="219" w:lineRule="auto"/>
        <w:ind w:firstLine="464" w:firstLineChars="200"/>
        <w:jc w:val="left"/>
        <w:rPr>
          <w:rFonts w:hint="eastAsia" w:ascii="宋体" w:hAnsi="宋体" w:eastAsia="宋体" w:cs="宋体"/>
          <w:spacing w:val="-4"/>
          <w:sz w:val="24"/>
          <w:szCs w:val="24"/>
        </w:rPr>
      </w:pPr>
      <w:r>
        <w:rPr>
          <w:rFonts w:hint="eastAsia" w:ascii="宋体" w:hAnsi="宋体" w:eastAsia="宋体" w:cs="宋体"/>
          <w:spacing w:val="-4"/>
          <w:sz w:val="24"/>
          <w:szCs w:val="24"/>
        </w:rPr>
        <w:t>以绿色电力产品为标的物的电力中长期交易，交易电力同时提供国家规定的绿色电力证书，</w:t>
      </w:r>
      <w:r>
        <w:rPr>
          <w:rFonts w:hint="eastAsia" w:ascii="宋体" w:hAnsi="宋体" w:eastAsia="宋体" w:cs="宋体"/>
          <w:spacing w:val="-4"/>
          <w:sz w:val="24"/>
          <w:szCs w:val="24"/>
          <w:lang w:eastAsia="zh-CN"/>
        </w:rPr>
        <w:t>满足</w:t>
      </w:r>
      <w:r>
        <w:rPr>
          <w:rFonts w:hint="eastAsia" w:ascii="宋体" w:hAnsi="宋体" w:eastAsia="宋体" w:cs="宋体"/>
          <w:spacing w:val="-4"/>
          <w:sz w:val="24"/>
          <w:szCs w:val="24"/>
        </w:rPr>
        <w:t>发电企业、售电公司、电力用户等市场主体出售、购买绿色电力产品的需求。</w:t>
      </w:r>
    </w:p>
    <w:p w14:paraId="5E8DCCF1">
      <w:pPr>
        <w:spacing w:before="210" w:line="219" w:lineRule="auto"/>
        <w:ind w:firstLine="464" w:firstLineChars="200"/>
        <w:jc w:val="left"/>
        <w:rPr>
          <w:rFonts w:hint="eastAsia" w:ascii="宋体" w:hAnsi="宋体" w:eastAsia="宋体" w:cs="宋体"/>
          <w:spacing w:val="-4"/>
          <w:sz w:val="24"/>
          <w:szCs w:val="24"/>
        </w:rPr>
        <w:sectPr>
          <w:footerReference r:id="rId12" w:type="default"/>
          <w:pgSz w:w="11906" w:h="16839"/>
          <w:pgMar w:top="400" w:right="1599" w:bottom="1152" w:left="1785" w:header="0" w:footer="987" w:gutter="0"/>
          <w:pgNumType w:fmt="decimal"/>
          <w:cols w:space="720" w:num="1"/>
        </w:sectPr>
      </w:pPr>
    </w:p>
    <w:p w14:paraId="6365011B">
      <w:pPr>
        <w:pStyle w:val="7"/>
        <w:spacing w:line="267" w:lineRule="auto"/>
      </w:pPr>
    </w:p>
    <w:p w14:paraId="45AB2A47">
      <w:pPr>
        <w:pStyle w:val="7"/>
        <w:spacing w:line="267" w:lineRule="auto"/>
      </w:pPr>
    </w:p>
    <w:p w14:paraId="1BC2D2FE">
      <w:pPr>
        <w:pStyle w:val="7"/>
        <w:spacing w:line="267" w:lineRule="auto"/>
      </w:pPr>
    </w:p>
    <w:p w14:paraId="14B40DAB">
      <w:pPr>
        <w:pStyle w:val="7"/>
        <w:spacing w:line="268" w:lineRule="auto"/>
      </w:pPr>
    </w:p>
    <w:p w14:paraId="23193DB0">
      <w:pPr>
        <w:spacing w:before="78" w:line="212" w:lineRule="auto"/>
        <w:ind w:left="19"/>
        <w:rPr>
          <w:rFonts w:ascii="Times New Roman" w:hAnsi="Times New Roman" w:eastAsia="Times New Roman" w:cs="Times New Roman"/>
          <w:sz w:val="24"/>
          <w:szCs w:val="24"/>
        </w:rPr>
      </w:pPr>
      <w:bookmarkStart w:id="7" w:name="bookmark135"/>
      <w:bookmarkEnd w:id="7"/>
      <w:r>
        <w:rPr>
          <w:rFonts w:ascii="Times New Roman" w:hAnsi="Times New Roman" w:eastAsia="Times New Roman" w:cs="Times New Roman"/>
          <w:b/>
          <w:bCs/>
          <w:sz w:val="24"/>
          <w:szCs w:val="24"/>
        </w:rPr>
        <w:t>2.1.</w:t>
      </w:r>
      <w:r>
        <w:rPr>
          <w:rFonts w:hint="eastAsia" w:ascii="Times New Roman" w:hAnsi="Times New Roman" w:eastAsia="Times New Roman" w:cs="Times New Roman"/>
          <w:b/>
          <w:bCs/>
          <w:sz w:val="24"/>
          <w:szCs w:val="24"/>
        </w:rPr>
        <w:t>7</w:t>
      </w:r>
      <w:r>
        <w:rPr>
          <w:rFonts w:ascii="Times New Roman" w:hAnsi="Times New Roman" w:eastAsia="Times New Roman" w:cs="Times New Roman"/>
          <w:b/>
          <w:bCs/>
          <w:sz w:val="24"/>
          <w:szCs w:val="24"/>
        </w:rPr>
        <w:t xml:space="preserve">    </w:t>
      </w:r>
      <w:r>
        <w:rPr>
          <w:rFonts w:hint="eastAsia" w:ascii="宋体" w:hAnsi="宋体" w:eastAsia="宋体" w:cs="宋体"/>
          <w:sz w:val="24"/>
          <w:szCs w:val="24"/>
        </w:rPr>
        <w:t>绿色电力证书交易</w:t>
      </w:r>
      <w:r>
        <w:rPr>
          <w:rFonts w:ascii="宋体" w:hAnsi="宋体" w:eastAsia="宋体" w:cs="宋体"/>
          <w:sz w:val="24"/>
          <w:szCs w:val="24"/>
        </w:rPr>
        <w:t xml:space="preserve">  </w:t>
      </w:r>
      <w:r>
        <w:rPr>
          <w:rFonts w:hint="eastAsia" w:ascii="Times New Roman" w:hAnsi="Times New Roman" w:eastAsia="Times New Roman" w:cs="Times New Roman"/>
          <w:sz w:val="24"/>
          <w:szCs w:val="24"/>
        </w:rPr>
        <w:t>Green Electricity Certificate Trade</w:t>
      </w:r>
    </w:p>
    <w:p w14:paraId="05428C62">
      <w:pPr>
        <w:spacing w:before="192" w:line="360" w:lineRule="auto"/>
        <w:ind w:right="13" w:firstLine="496" w:firstLineChars="200"/>
        <w:rPr>
          <w:rFonts w:hint="eastAsia" w:ascii="宋体" w:hAnsi="宋体" w:eastAsia="宋体" w:cs="宋体"/>
          <w:spacing w:val="4"/>
          <w:sz w:val="24"/>
          <w:szCs w:val="24"/>
        </w:rPr>
      </w:pPr>
      <w:r>
        <w:rPr>
          <w:rFonts w:hint="eastAsia" w:ascii="宋体" w:hAnsi="宋体" w:eastAsia="宋体" w:cs="宋体"/>
          <w:spacing w:val="4"/>
          <w:sz w:val="24"/>
          <w:szCs w:val="24"/>
        </w:rPr>
        <w:t>证书认购参与人在绿色电力证书自愿认购平台上的自愿认购和出售行为。</w:t>
      </w:r>
    </w:p>
    <w:p w14:paraId="3C0633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napToGrid w:val="0"/>
          <w:color w:val="000000"/>
          <w:kern w:val="0"/>
          <w:sz w:val="24"/>
          <w:szCs w:val="24"/>
          <w:lang w:val="en-US" w:eastAsia="zh-CN" w:bidi="ar"/>
        </w:rPr>
      </w:pPr>
      <w:r>
        <w:rPr>
          <w:rFonts w:ascii="Times New Roman" w:hAnsi="Times New Roman" w:eastAsia="Times New Roman" w:cs="Times New Roman"/>
          <w:b/>
          <w:bCs/>
          <w:sz w:val="24"/>
          <w:szCs w:val="24"/>
          <w:lang w:val="en-US" w:eastAsia="zh-CN"/>
        </w:rPr>
        <w:t>2.1.</w:t>
      </w:r>
      <w:r>
        <w:rPr>
          <w:rFonts w:hint="eastAsia" w:ascii="Times New Roman" w:hAnsi="Times New Roman" w:eastAsia="Times New Roman" w:cs="Times New Roman"/>
          <w:b/>
          <w:bCs/>
          <w:sz w:val="24"/>
          <w:szCs w:val="24"/>
          <w:lang w:val="en-US" w:eastAsia="zh-CN"/>
        </w:rPr>
        <w:t>8</w:t>
      </w:r>
      <w:r>
        <w:rPr>
          <w:rFonts w:ascii="Times New Roman" w:hAnsi="Times New Roman" w:eastAsia="Times New Roman" w:cs="Times New Roman"/>
          <w:b/>
          <w:bCs/>
          <w:sz w:val="24"/>
          <w:szCs w:val="24"/>
        </w:rPr>
        <w:t xml:space="preserve">    </w:t>
      </w:r>
      <w:r>
        <w:rPr>
          <w:rFonts w:ascii="宋体" w:hAnsi="宋体" w:eastAsia="宋体" w:cs="宋体"/>
          <w:snapToGrid w:val="0"/>
          <w:color w:val="000000"/>
          <w:kern w:val="0"/>
          <w:sz w:val="24"/>
          <w:szCs w:val="24"/>
          <w:lang w:val="en-US" w:eastAsia="zh-CN" w:bidi="ar"/>
        </w:rPr>
        <w:t>碳汇抵消</w:t>
      </w:r>
      <w:r>
        <w:rPr>
          <w:rFonts w:ascii="宋体" w:hAnsi="宋体" w:eastAsia="宋体" w:cs="宋体"/>
          <w:sz w:val="24"/>
          <w:szCs w:val="24"/>
        </w:rPr>
        <w:t xml:space="preserve">  </w:t>
      </w:r>
      <w:r>
        <w:rPr>
          <w:rFonts w:hint="eastAsia" w:ascii="Times New Roman" w:hAnsi="Times New Roman" w:eastAsia="Times New Roman" w:cs="Times New Roman"/>
          <w:sz w:val="24"/>
          <w:szCs w:val="24"/>
          <w:lang w:val="en-US" w:eastAsia="zh-CN"/>
        </w:rPr>
        <w:t>Carbon Sink Offset</w:t>
      </w:r>
    </w:p>
    <w:p w14:paraId="1491369A">
      <w:pPr>
        <w:spacing w:before="192" w:line="360" w:lineRule="auto"/>
        <w:ind w:right="13" w:firstLine="496" w:firstLineChars="200"/>
        <w:rPr>
          <w:rFonts w:hint="eastAsia" w:ascii="宋体" w:hAnsi="宋体" w:eastAsia="宋体" w:cs="宋体"/>
          <w:spacing w:val="4"/>
          <w:sz w:val="24"/>
          <w:szCs w:val="24"/>
        </w:rPr>
      </w:pPr>
      <w:r>
        <w:rPr>
          <w:rFonts w:hint="eastAsia" w:ascii="宋体" w:hAnsi="宋体" w:eastAsia="宋体" w:cs="宋体"/>
          <w:spacing w:val="4"/>
          <w:sz w:val="24"/>
          <w:szCs w:val="24"/>
          <w:lang w:val="en-US" w:eastAsia="zh-CN"/>
        </w:rPr>
        <w:t>通过购买合规碳信用、林业碳汇、绿电 / 绿证等方式，抵消建筑施工阶段超出管控目标碳排放的行为。</w:t>
      </w:r>
    </w:p>
    <w:p w14:paraId="50F99F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napToGrid w:val="0"/>
          <w:color w:val="000000"/>
          <w:kern w:val="0"/>
          <w:sz w:val="24"/>
          <w:szCs w:val="24"/>
          <w:lang w:val="en-US" w:eastAsia="zh-CN" w:bidi="ar"/>
        </w:rPr>
      </w:pPr>
      <w:r>
        <w:rPr>
          <w:rFonts w:ascii="Times New Roman" w:hAnsi="Times New Roman" w:eastAsia="Times New Roman" w:cs="Times New Roman"/>
          <w:b/>
          <w:bCs/>
          <w:sz w:val="24"/>
          <w:szCs w:val="24"/>
          <w:lang w:val="en-US" w:eastAsia="zh-CN"/>
        </w:rPr>
        <w:t>2.1.</w:t>
      </w:r>
      <w:r>
        <w:rPr>
          <w:rFonts w:hint="eastAsia" w:ascii="Times New Roman" w:hAnsi="Times New Roman" w:eastAsia="Times New Roman" w:cs="Times New Roman"/>
          <w:b/>
          <w:bCs/>
          <w:sz w:val="24"/>
          <w:szCs w:val="24"/>
          <w:lang w:val="en-US" w:eastAsia="zh-CN"/>
        </w:rPr>
        <w:t>9</w:t>
      </w:r>
      <w:r>
        <w:rPr>
          <w:rFonts w:ascii="Times New Roman" w:hAnsi="Times New Roman" w:eastAsia="Times New Roman" w:cs="Times New Roman"/>
          <w:b/>
          <w:bCs/>
          <w:sz w:val="24"/>
          <w:szCs w:val="24"/>
        </w:rPr>
        <w:t xml:space="preserve">    </w:t>
      </w:r>
      <w:r>
        <w:rPr>
          <w:rFonts w:ascii="宋体" w:hAnsi="宋体" w:eastAsia="宋体" w:cs="宋体"/>
          <w:snapToGrid w:val="0"/>
          <w:color w:val="000000"/>
          <w:kern w:val="0"/>
          <w:sz w:val="24"/>
          <w:szCs w:val="24"/>
          <w:lang w:val="en-US" w:eastAsia="zh-CN" w:bidi="ar"/>
        </w:rPr>
        <w:t>碳信用</w:t>
      </w:r>
      <w:r>
        <w:rPr>
          <w:rFonts w:ascii="宋体" w:hAnsi="宋体" w:eastAsia="宋体" w:cs="宋体"/>
          <w:sz w:val="24"/>
          <w:szCs w:val="24"/>
        </w:rPr>
        <w:t xml:space="preserve">  </w:t>
      </w:r>
      <w:r>
        <w:rPr>
          <w:rFonts w:hint="eastAsia" w:ascii="Times New Roman" w:hAnsi="Times New Roman" w:eastAsia="Times New Roman" w:cs="Times New Roman"/>
          <w:sz w:val="24"/>
          <w:szCs w:val="24"/>
          <w:lang w:val="en-US" w:eastAsia="zh-CN"/>
        </w:rPr>
        <w:t>Carbon Credit</w:t>
      </w:r>
    </w:p>
    <w:p w14:paraId="3022A264">
      <w:pPr>
        <w:spacing w:before="192" w:line="360" w:lineRule="auto"/>
        <w:ind w:right="13" w:firstLine="496" w:firstLineChars="200"/>
        <w:rPr>
          <w:color w:val="000000"/>
          <w:sz w:val="24"/>
          <w:szCs w:val="24"/>
        </w:rPr>
      </w:pPr>
      <w:r>
        <w:rPr>
          <w:rFonts w:hint="eastAsia" w:ascii="宋体" w:hAnsi="宋体" w:eastAsia="宋体" w:cs="宋体"/>
          <w:spacing w:val="4"/>
          <w:sz w:val="24"/>
          <w:szCs w:val="24"/>
          <w:lang w:val="en-US" w:eastAsia="zh-CN"/>
        </w:rPr>
        <w:t>经权威核证、可用于碳排放抵消交易的温室气体减排量凭证。</w:t>
      </w:r>
    </w:p>
    <w:p w14:paraId="6F94B7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napToGrid w:val="0"/>
          <w:color w:val="000000"/>
          <w:kern w:val="0"/>
          <w:sz w:val="24"/>
          <w:szCs w:val="24"/>
          <w:lang w:val="en-US" w:eastAsia="zh-CN" w:bidi="ar"/>
        </w:rPr>
      </w:pPr>
      <w:r>
        <w:rPr>
          <w:rFonts w:ascii="Times New Roman" w:hAnsi="Times New Roman" w:eastAsia="Times New Roman" w:cs="Times New Roman"/>
          <w:b/>
          <w:bCs/>
          <w:sz w:val="24"/>
          <w:szCs w:val="24"/>
          <w:lang w:val="en-US" w:eastAsia="zh-CN"/>
        </w:rPr>
        <w:t>2.1.1</w:t>
      </w:r>
      <w:r>
        <w:rPr>
          <w:rFonts w:hint="eastAsia" w:ascii="Times New Roman" w:hAnsi="Times New Roman" w:eastAsia="Times New Roman" w:cs="Times New Roman"/>
          <w:b/>
          <w:bCs/>
          <w:sz w:val="24"/>
          <w:szCs w:val="24"/>
          <w:lang w:val="en-US" w:eastAsia="zh-CN"/>
        </w:rPr>
        <w:t>0</w:t>
      </w:r>
      <w:r>
        <w:rPr>
          <w:rFonts w:ascii="Times New Roman" w:hAnsi="Times New Roman" w:eastAsia="Times New Roman" w:cs="Times New Roman"/>
          <w:b/>
          <w:bCs/>
          <w:sz w:val="24"/>
          <w:szCs w:val="24"/>
        </w:rPr>
        <w:t xml:space="preserve">    </w:t>
      </w:r>
      <w:r>
        <w:rPr>
          <w:rFonts w:ascii="宋体" w:hAnsi="宋体" w:eastAsia="宋体" w:cs="宋体"/>
          <w:snapToGrid w:val="0"/>
          <w:color w:val="000000"/>
          <w:kern w:val="0"/>
          <w:sz w:val="24"/>
          <w:szCs w:val="24"/>
          <w:lang w:val="en-US" w:eastAsia="zh-CN" w:bidi="ar"/>
        </w:rPr>
        <w:t>国家核证自愿减排量</w:t>
      </w:r>
      <w:r>
        <w:rPr>
          <w:rFonts w:ascii="宋体" w:hAnsi="宋体" w:eastAsia="宋体" w:cs="宋体"/>
          <w:sz w:val="24"/>
          <w:szCs w:val="24"/>
        </w:rPr>
        <w:t xml:space="preserve">  </w:t>
      </w:r>
      <w:r>
        <w:rPr>
          <w:rFonts w:hint="eastAsia" w:ascii="Times New Roman" w:hAnsi="Times New Roman" w:eastAsia="Times New Roman" w:cs="Times New Roman"/>
          <w:sz w:val="24"/>
          <w:szCs w:val="24"/>
          <w:lang w:val="en-US" w:eastAsia="zh-CN"/>
        </w:rPr>
        <w:t>CCER</w:t>
      </w:r>
    </w:p>
    <w:p w14:paraId="7EA66BB3">
      <w:pPr>
        <w:spacing w:before="192" w:line="360" w:lineRule="auto"/>
        <w:ind w:right="13" w:firstLine="496" w:firstLineChars="200"/>
        <w:rPr>
          <w:rFonts w:hint="eastAsia" w:ascii="宋体" w:hAnsi="宋体" w:eastAsia="宋体" w:cs="宋体"/>
          <w:spacing w:val="4"/>
          <w:sz w:val="24"/>
          <w:szCs w:val="24"/>
          <w:lang w:val="en-US" w:eastAsia="zh-CN"/>
        </w:rPr>
      </w:pPr>
      <w:r>
        <w:rPr>
          <w:rFonts w:hint="eastAsia" w:ascii="宋体" w:hAnsi="宋体" w:eastAsia="宋体" w:cs="宋体"/>
          <w:spacing w:val="4"/>
          <w:sz w:val="24"/>
          <w:szCs w:val="24"/>
          <w:lang w:val="en-US" w:eastAsia="zh-CN"/>
        </w:rPr>
        <w:t>依据国家规定备案、核证的温室气体自愿减排量。</w:t>
      </w:r>
    </w:p>
    <w:p w14:paraId="62323E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napToGrid w:val="0"/>
          <w:color w:val="000000"/>
          <w:kern w:val="0"/>
          <w:sz w:val="24"/>
          <w:szCs w:val="24"/>
          <w:lang w:val="en-US" w:eastAsia="zh-CN" w:bidi="ar"/>
        </w:rPr>
      </w:pPr>
      <w:r>
        <w:rPr>
          <w:rFonts w:ascii="Times New Roman" w:hAnsi="Times New Roman" w:eastAsia="Times New Roman" w:cs="Times New Roman"/>
          <w:b/>
          <w:bCs/>
          <w:sz w:val="24"/>
          <w:szCs w:val="24"/>
          <w:lang w:val="en-US" w:eastAsia="zh-CN"/>
        </w:rPr>
        <w:t>2.1.1</w:t>
      </w:r>
      <w:r>
        <w:rPr>
          <w:rFonts w:hint="eastAsia" w:ascii="Times New Roman" w:hAnsi="Times New Roman" w:eastAsia="Times New Roman" w:cs="Times New Roman"/>
          <w:b/>
          <w:bCs/>
          <w:sz w:val="24"/>
          <w:szCs w:val="24"/>
          <w:lang w:val="en-US" w:eastAsia="zh-CN"/>
        </w:rPr>
        <w:t>1</w:t>
      </w:r>
      <w:r>
        <w:rPr>
          <w:rFonts w:ascii="Times New Roman" w:hAnsi="Times New Roman" w:eastAsia="Times New Roman" w:cs="Times New Roman"/>
          <w:b/>
          <w:bCs/>
          <w:sz w:val="24"/>
          <w:szCs w:val="24"/>
        </w:rPr>
        <w:t xml:space="preserve">    </w:t>
      </w:r>
      <w:r>
        <w:rPr>
          <w:rFonts w:ascii="宋体" w:hAnsi="宋体" w:eastAsia="宋体" w:cs="宋体"/>
          <w:snapToGrid w:val="0"/>
          <w:color w:val="000000"/>
          <w:kern w:val="0"/>
          <w:sz w:val="24"/>
          <w:szCs w:val="24"/>
          <w:lang w:val="en-US" w:eastAsia="zh-CN" w:bidi="ar"/>
        </w:rPr>
        <w:t>林业碳汇</w:t>
      </w:r>
      <w:r>
        <w:rPr>
          <w:rFonts w:ascii="宋体" w:hAnsi="宋体" w:eastAsia="宋体" w:cs="宋体"/>
          <w:sz w:val="24"/>
          <w:szCs w:val="24"/>
        </w:rPr>
        <w:t xml:space="preserve">  </w:t>
      </w:r>
      <w:r>
        <w:rPr>
          <w:rFonts w:hint="eastAsia" w:ascii="Times New Roman" w:hAnsi="Times New Roman" w:eastAsia="Times New Roman" w:cs="Times New Roman"/>
          <w:sz w:val="24"/>
          <w:szCs w:val="24"/>
          <w:lang w:val="en-US" w:eastAsia="zh-CN"/>
        </w:rPr>
        <w:t>Forest Carbon Sink</w:t>
      </w:r>
    </w:p>
    <w:p w14:paraId="617B0647">
      <w:pPr>
        <w:spacing w:before="192" w:line="360" w:lineRule="auto"/>
        <w:ind w:right="13" w:firstLine="496" w:firstLineChars="200"/>
        <w:rPr>
          <w:rFonts w:hint="eastAsia" w:ascii="宋体" w:hAnsi="宋体" w:eastAsia="宋体" w:cs="宋体"/>
          <w:spacing w:val="4"/>
          <w:sz w:val="24"/>
          <w:szCs w:val="24"/>
          <w:lang w:val="en-US" w:eastAsia="zh-CN"/>
        </w:rPr>
      </w:pPr>
      <w:r>
        <w:rPr>
          <w:rFonts w:hint="eastAsia" w:ascii="宋体" w:hAnsi="宋体" w:eastAsia="宋体" w:cs="宋体"/>
          <w:spacing w:val="4"/>
          <w:sz w:val="24"/>
          <w:szCs w:val="24"/>
          <w:lang w:val="en-US" w:eastAsia="zh-CN"/>
        </w:rPr>
        <w:t>通过森林培育、植被修复等林业活动固碳形成的可核证碳汇。</w:t>
      </w:r>
    </w:p>
    <w:p w14:paraId="51EB1724">
      <w:pPr>
        <w:spacing w:before="192" w:line="360" w:lineRule="auto"/>
        <w:ind w:right="13" w:firstLine="496" w:firstLineChars="200"/>
        <w:rPr>
          <w:rFonts w:hint="eastAsia" w:ascii="宋体" w:hAnsi="宋体" w:eastAsia="宋体" w:cs="宋体"/>
          <w:spacing w:val="4"/>
          <w:sz w:val="24"/>
          <w:szCs w:val="24"/>
        </w:rPr>
      </w:pPr>
    </w:p>
    <w:p w14:paraId="1E96975E">
      <w:pPr>
        <w:pStyle w:val="7"/>
        <w:spacing w:line="272" w:lineRule="auto"/>
      </w:pPr>
    </w:p>
    <w:p w14:paraId="12E1328D">
      <w:pPr>
        <w:pStyle w:val="7"/>
        <w:spacing w:line="272" w:lineRule="auto"/>
      </w:pPr>
    </w:p>
    <w:p w14:paraId="24FD79DF">
      <w:pPr>
        <w:spacing w:before="91" w:line="222" w:lineRule="auto"/>
        <w:ind w:left="3323"/>
        <w:outlineLvl w:val="1"/>
        <w:rPr>
          <w:rFonts w:ascii="黑体" w:hAnsi="黑体" w:eastAsia="黑体" w:cs="黑体"/>
          <w:sz w:val="28"/>
          <w:szCs w:val="28"/>
        </w:rPr>
      </w:pPr>
      <w:bookmarkStart w:id="8" w:name="bookmark73"/>
      <w:bookmarkEnd w:id="8"/>
      <w:bookmarkStart w:id="9" w:name="_Toc27819"/>
      <w:r>
        <w:rPr>
          <w:rFonts w:ascii="黑体" w:hAnsi="黑体" w:eastAsia="黑体" w:cs="黑体"/>
          <w:b/>
          <w:bCs/>
          <w:spacing w:val="-6"/>
          <w:sz w:val="24"/>
          <w:szCs w:val="24"/>
        </w:rPr>
        <w:t>2.2</w:t>
      </w:r>
      <w:r>
        <w:rPr>
          <w:rFonts w:ascii="黑体" w:hAnsi="黑体" w:eastAsia="黑体" w:cs="黑体"/>
          <w:spacing w:val="105"/>
          <w:sz w:val="24"/>
          <w:szCs w:val="24"/>
        </w:rPr>
        <w:t xml:space="preserve"> </w:t>
      </w:r>
      <w:r>
        <w:rPr>
          <w:rFonts w:ascii="黑体" w:hAnsi="黑体" w:eastAsia="黑体" w:cs="黑体"/>
          <w:b/>
          <w:bCs/>
          <w:spacing w:val="-6"/>
          <w:sz w:val="28"/>
          <w:szCs w:val="28"/>
        </w:rPr>
        <w:t>符</w:t>
      </w:r>
      <w:r>
        <w:rPr>
          <w:rFonts w:hint="eastAsia" w:ascii="黑体" w:hAnsi="黑体" w:eastAsia="黑体" w:cs="黑体"/>
          <w:b/>
          <w:bCs/>
          <w:spacing w:val="-6"/>
          <w:sz w:val="28"/>
          <w:szCs w:val="28"/>
          <w:lang w:val="en-US" w:eastAsia="zh-CN"/>
        </w:rPr>
        <w:t xml:space="preserve">  </w:t>
      </w:r>
      <w:r>
        <w:rPr>
          <w:rFonts w:ascii="黑体" w:hAnsi="黑体" w:eastAsia="黑体" w:cs="黑体"/>
          <w:b/>
          <w:bCs/>
          <w:spacing w:val="-6"/>
          <w:sz w:val="28"/>
          <w:szCs w:val="28"/>
        </w:rPr>
        <w:t>号</w:t>
      </w:r>
      <w:bookmarkEnd w:id="9"/>
    </w:p>
    <w:p w14:paraId="72D98247">
      <w:pPr>
        <w:pStyle w:val="7"/>
        <w:spacing w:line="460" w:lineRule="auto"/>
      </w:pPr>
    </w:p>
    <w:p w14:paraId="13A4C7F5">
      <w:pPr>
        <w:spacing w:before="78" w:line="218" w:lineRule="auto"/>
        <w:ind w:left="510"/>
        <w:rPr>
          <w:rFonts w:ascii="宋体" w:hAnsi="宋体" w:eastAsia="宋体" w:cs="宋体"/>
          <w:sz w:val="24"/>
          <w:szCs w:val="24"/>
        </w:rPr>
      </w:pPr>
      <w:r>
        <w:rPr>
          <w:rFonts w:hint="default" w:ascii="Times New Roman" w:hAnsi="Times New Roman" w:eastAsia="等线" w:cs="Times New Roman"/>
          <w:b w:val="0"/>
          <w:bCs w:val="0"/>
          <w:i/>
          <w:iCs/>
          <w:snapToGrid/>
          <w:color w:val="auto"/>
          <w:kern w:val="2"/>
          <w:sz w:val="24"/>
          <w:szCs w:val="24"/>
          <w:lang w:eastAsia="zh-CN"/>
        </w:rPr>
        <w:t>W</w:t>
      </w:r>
      <w:r>
        <w:rPr>
          <w:rFonts w:hint="default" w:ascii="Times New Roman" w:hAnsi="Times New Roman" w:eastAsia="等线" w:cs="Times New Roman"/>
          <w:b w:val="0"/>
          <w:bCs w:val="0"/>
          <w:i/>
          <w:iCs/>
          <w:snapToGrid/>
          <w:color w:val="auto"/>
          <w:kern w:val="2"/>
          <w:sz w:val="24"/>
          <w:szCs w:val="24"/>
          <w:vertAlign w:val="subscript"/>
          <w:lang w:eastAsia="zh-CN"/>
        </w:rPr>
        <w:t>单类</w:t>
      </w:r>
      <w:r>
        <w:rPr>
          <w:rFonts w:ascii="Times New Roman" w:hAnsi="Times New Roman" w:eastAsia="Times New Roman" w:cs="Times New Roman"/>
          <w:spacing w:val="-1"/>
          <w:sz w:val="24"/>
          <w:szCs w:val="24"/>
        </w:rPr>
        <w:t>——</w:t>
      </w:r>
      <w:r>
        <w:rPr>
          <w:rFonts w:ascii="宋体" w:hAnsi="宋体" w:eastAsia="宋体" w:cs="宋体"/>
          <w:spacing w:val="-1"/>
          <w:sz w:val="24"/>
          <w:szCs w:val="24"/>
        </w:rPr>
        <w:t>单类碳排放源占总碳排放的权重；</w:t>
      </w:r>
    </w:p>
    <w:p w14:paraId="68C0BA8E">
      <w:pPr>
        <w:spacing w:before="184" w:line="219" w:lineRule="auto"/>
        <w:ind w:left="510"/>
        <w:rPr>
          <w:rFonts w:ascii="宋体" w:hAnsi="宋体" w:eastAsia="宋体" w:cs="宋体"/>
          <w:sz w:val="24"/>
          <w:szCs w:val="24"/>
        </w:rPr>
      </w:pPr>
      <w:r>
        <w:rPr>
          <w:rFonts w:hint="default" w:ascii="Times New Roman" w:hAnsi="Times New Roman" w:eastAsia="等线" w:cs="Times New Roman"/>
          <w:b w:val="0"/>
          <w:bCs w:val="0"/>
          <w:i/>
          <w:iCs/>
          <w:snapToGrid/>
          <w:color w:val="auto"/>
          <w:kern w:val="2"/>
          <w:sz w:val="24"/>
          <w:szCs w:val="24"/>
          <w:lang w:eastAsia="zh-CN"/>
        </w:rPr>
        <w:t>E</w:t>
      </w:r>
      <w:r>
        <w:rPr>
          <w:rFonts w:hint="default" w:ascii="Times New Roman" w:hAnsi="Times New Roman" w:eastAsia="等线" w:cs="Times New Roman"/>
          <w:b w:val="0"/>
          <w:bCs w:val="0"/>
          <w:i/>
          <w:iCs/>
          <w:snapToGrid/>
          <w:color w:val="auto"/>
          <w:kern w:val="2"/>
          <w:sz w:val="24"/>
          <w:szCs w:val="24"/>
          <w:vertAlign w:val="subscript"/>
          <w:lang w:eastAsia="zh-CN"/>
        </w:rPr>
        <w:t>单类</w:t>
      </w:r>
      <w:r>
        <w:rPr>
          <w:rFonts w:ascii="Times New Roman" w:hAnsi="Times New Roman" w:eastAsia="Times New Roman" w:cs="Times New Roman"/>
          <w:spacing w:val="-1"/>
          <w:sz w:val="24"/>
          <w:szCs w:val="24"/>
        </w:rPr>
        <w:t>——</w:t>
      </w:r>
      <w:r>
        <w:rPr>
          <w:rFonts w:ascii="宋体" w:hAnsi="宋体" w:eastAsia="宋体" w:cs="宋体"/>
          <w:spacing w:val="-1"/>
          <w:sz w:val="24"/>
          <w:szCs w:val="24"/>
        </w:rPr>
        <w:t>单类碳排放源排放量；</w:t>
      </w:r>
    </w:p>
    <w:p w14:paraId="154ECD51">
      <w:pPr>
        <w:spacing w:before="184" w:line="218" w:lineRule="auto"/>
        <w:ind w:left="510"/>
        <w:rPr>
          <w:rFonts w:ascii="宋体" w:hAnsi="宋体" w:eastAsia="宋体" w:cs="宋体"/>
          <w:sz w:val="24"/>
          <w:szCs w:val="24"/>
        </w:rPr>
      </w:pPr>
      <w:r>
        <w:rPr>
          <w:rFonts w:hint="default" w:ascii="Times New Roman" w:hAnsi="Times New Roman" w:eastAsia="等线" w:cs="Times New Roman"/>
          <w:b w:val="0"/>
          <w:bCs w:val="0"/>
          <w:i/>
          <w:iCs/>
          <w:snapToGrid/>
          <w:color w:val="auto"/>
          <w:kern w:val="2"/>
          <w:sz w:val="24"/>
          <w:szCs w:val="24"/>
          <w:lang w:eastAsia="zh-CN"/>
        </w:rPr>
        <w:t>E</w:t>
      </w:r>
      <w:r>
        <w:rPr>
          <w:rFonts w:hint="default" w:ascii="Times New Roman" w:hAnsi="Times New Roman" w:eastAsia="等线" w:cs="Times New Roman"/>
          <w:b w:val="0"/>
          <w:bCs w:val="0"/>
          <w:i/>
          <w:iCs/>
          <w:snapToGrid/>
          <w:color w:val="auto"/>
          <w:kern w:val="2"/>
          <w:sz w:val="24"/>
          <w:szCs w:val="24"/>
          <w:vertAlign w:val="subscript"/>
          <w:lang w:eastAsia="zh-CN"/>
        </w:rPr>
        <w:t>总</w:t>
      </w:r>
      <w:r>
        <w:rPr>
          <w:rFonts w:ascii="Times New Roman" w:hAnsi="Times New Roman" w:eastAsia="Times New Roman" w:cs="Times New Roman"/>
          <w:spacing w:val="-1"/>
          <w:sz w:val="24"/>
          <w:szCs w:val="24"/>
        </w:rPr>
        <w:t>——</w:t>
      </w:r>
      <w:r>
        <w:rPr>
          <w:rFonts w:ascii="宋体" w:hAnsi="宋体" w:eastAsia="宋体" w:cs="宋体"/>
          <w:spacing w:val="-1"/>
          <w:sz w:val="24"/>
          <w:szCs w:val="24"/>
        </w:rPr>
        <w:t>建筑施工阶段碳总排放量；</w:t>
      </w:r>
    </w:p>
    <w:p w14:paraId="0F2AC2F9">
      <w:pPr>
        <w:spacing w:before="185" w:line="218" w:lineRule="auto"/>
        <w:ind w:left="510"/>
        <w:rPr>
          <w:rFonts w:ascii="宋体" w:hAnsi="宋体" w:eastAsia="宋体" w:cs="宋体"/>
          <w:sz w:val="24"/>
          <w:szCs w:val="24"/>
        </w:rPr>
      </w:pPr>
      <w:r>
        <w:rPr>
          <w:rFonts w:hint="default" w:ascii="Times New Roman" w:hAnsi="Times New Roman" w:eastAsia="等线" w:cs="Times New Roman"/>
          <w:b w:val="0"/>
          <w:bCs w:val="0"/>
          <w:i/>
          <w:iCs/>
          <w:snapToGrid/>
          <w:color w:val="auto"/>
          <w:kern w:val="2"/>
          <w:sz w:val="24"/>
          <w:szCs w:val="24"/>
          <w:lang w:eastAsia="zh-CN"/>
        </w:rPr>
        <w:t>E</w:t>
      </w:r>
      <w:r>
        <w:rPr>
          <w:rFonts w:hint="default" w:ascii="Times New Roman" w:hAnsi="Times New Roman" w:eastAsia="等线" w:cs="Times New Roman"/>
          <w:b w:val="0"/>
          <w:bCs w:val="0"/>
          <w:i/>
          <w:iCs/>
          <w:snapToGrid/>
          <w:color w:val="auto"/>
          <w:kern w:val="2"/>
          <w:sz w:val="24"/>
          <w:szCs w:val="24"/>
          <w:vertAlign w:val="subscript"/>
          <w:lang w:eastAsia="zh-CN"/>
        </w:rPr>
        <w:t>直总</w:t>
      </w:r>
      <w:r>
        <w:rPr>
          <w:rFonts w:ascii="Times New Roman" w:hAnsi="Times New Roman" w:eastAsia="Times New Roman" w:cs="Times New Roman"/>
          <w:spacing w:val="-1"/>
          <w:sz w:val="24"/>
          <w:szCs w:val="24"/>
        </w:rPr>
        <w:t>——</w:t>
      </w:r>
      <w:r>
        <w:rPr>
          <w:rFonts w:ascii="宋体" w:hAnsi="宋体" w:eastAsia="宋体" w:cs="宋体"/>
          <w:spacing w:val="-1"/>
          <w:sz w:val="24"/>
          <w:szCs w:val="24"/>
        </w:rPr>
        <w:t>建筑施工阶段碳</w:t>
      </w:r>
      <w:r>
        <w:rPr>
          <w:rFonts w:hint="eastAsia" w:ascii="Times New Roman" w:hAnsi="Times New Roman" w:eastAsia="宋体" w:cs="Arial"/>
          <w:snapToGrid/>
          <w:color w:val="000000"/>
          <w:kern w:val="0"/>
          <w:sz w:val="24"/>
          <w:szCs w:val="21"/>
          <w:lang w:val="en-US" w:eastAsia="zh-CN" w:bidi="ar"/>
        </w:rPr>
        <w:t>直接</w:t>
      </w:r>
      <w:r>
        <w:rPr>
          <w:rFonts w:ascii="宋体" w:hAnsi="宋体" w:eastAsia="宋体" w:cs="宋体"/>
          <w:spacing w:val="-1"/>
          <w:sz w:val="24"/>
          <w:szCs w:val="24"/>
        </w:rPr>
        <w:t>排放</w:t>
      </w:r>
      <w:r>
        <w:rPr>
          <w:rFonts w:hint="eastAsia" w:ascii="宋体" w:hAnsi="宋体" w:eastAsia="宋体" w:cs="宋体"/>
          <w:spacing w:val="-1"/>
          <w:sz w:val="24"/>
          <w:szCs w:val="24"/>
          <w:lang w:val="en-US" w:eastAsia="zh-CN"/>
        </w:rPr>
        <w:t>总</w:t>
      </w:r>
      <w:r>
        <w:rPr>
          <w:rFonts w:ascii="宋体" w:hAnsi="宋体" w:eastAsia="宋体" w:cs="宋体"/>
          <w:spacing w:val="-1"/>
          <w:sz w:val="24"/>
          <w:szCs w:val="24"/>
        </w:rPr>
        <w:t>量；</w:t>
      </w:r>
    </w:p>
    <w:p w14:paraId="429F3E5D">
      <w:pPr>
        <w:spacing w:before="184" w:line="218" w:lineRule="auto"/>
        <w:ind w:left="510"/>
        <w:rPr>
          <w:rFonts w:ascii="宋体" w:hAnsi="宋体" w:eastAsia="宋体" w:cs="宋体"/>
          <w:sz w:val="24"/>
          <w:szCs w:val="24"/>
        </w:rPr>
      </w:pPr>
      <w:r>
        <w:rPr>
          <w:rFonts w:hint="default" w:ascii="Times New Roman" w:hAnsi="Times New Roman" w:eastAsia="等线" w:cs="Times New Roman"/>
          <w:b w:val="0"/>
          <w:bCs w:val="0"/>
          <w:i/>
          <w:iCs/>
          <w:snapToGrid/>
          <w:color w:val="auto"/>
          <w:kern w:val="2"/>
          <w:sz w:val="24"/>
          <w:szCs w:val="24"/>
          <w:lang w:eastAsia="zh-CN"/>
        </w:rPr>
        <w:t>E</w:t>
      </w:r>
      <w:r>
        <w:rPr>
          <w:rFonts w:hint="default" w:ascii="Times New Roman" w:hAnsi="Times New Roman" w:eastAsia="等线" w:cs="Times New Roman"/>
          <w:b w:val="0"/>
          <w:bCs w:val="0"/>
          <w:i/>
          <w:iCs/>
          <w:snapToGrid/>
          <w:color w:val="auto"/>
          <w:kern w:val="2"/>
          <w:sz w:val="24"/>
          <w:szCs w:val="24"/>
          <w:vertAlign w:val="subscript"/>
          <w:lang w:eastAsia="zh-CN"/>
        </w:rPr>
        <w:t>间总</w:t>
      </w:r>
      <w:r>
        <w:rPr>
          <w:rFonts w:ascii="Times New Roman" w:hAnsi="Times New Roman" w:eastAsia="Times New Roman" w:cs="Times New Roman"/>
          <w:spacing w:val="-1"/>
          <w:sz w:val="24"/>
          <w:szCs w:val="24"/>
        </w:rPr>
        <w:t>——</w:t>
      </w:r>
      <w:r>
        <w:rPr>
          <w:rFonts w:ascii="宋体" w:hAnsi="宋体" w:eastAsia="宋体" w:cs="宋体"/>
          <w:spacing w:val="-1"/>
          <w:sz w:val="24"/>
          <w:szCs w:val="24"/>
        </w:rPr>
        <w:t>建筑施工阶段碳</w:t>
      </w:r>
      <w:r>
        <w:rPr>
          <w:rFonts w:hint="eastAsia" w:ascii="宋体" w:hAnsi="宋体" w:eastAsia="宋体" w:cs="宋体"/>
          <w:spacing w:val="-1"/>
          <w:sz w:val="24"/>
          <w:szCs w:val="24"/>
          <w:lang w:val="en-US" w:eastAsia="zh-CN"/>
        </w:rPr>
        <w:t>间</w:t>
      </w:r>
      <w:r>
        <w:rPr>
          <w:rFonts w:hint="eastAsia" w:ascii="Times New Roman" w:hAnsi="Times New Roman" w:eastAsia="宋体" w:cs="Arial"/>
          <w:snapToGrid/>
          <w:color w:val="000000"/>
          <w:kern w:val="0"/>
          <w:sz w:val="24"/>
          <w:szCs w:val="21"/>
          <w:lang w:val="en-US" w:eastAsia="zh-CN" w:bidi="ar"/>
        </w:rPr>
        <w:t>接</w:t>
      </w:r>
      <w:r>
        <w:rPr>
          <w:rFonts w:ascii="宋体" w:hAnsi="宋体" w:eastAsia="宋体" w:cs="宋体"/>
          <w:spacing w:val="-1"/>
          <w:sz w:val="24"/>
          <w:szCs w:val="24"/>
        </w:rPr>
        <w:t>排放</w:t>
      </w:r>
      <w:r>
        <w:rPr>
          <w:rFonts w:hint="eastAsia" w:ascii="宋体" w:hAnsi="宋体" w:eastAsia="宋体" w:cs="宋体"/>
          <w:spacing w:val="-1"/>
          <w:sz w:val="24"/>
          <w:szCs w:val="24"/>
          <w:lang w:val="en-US" w:eastAsia="zh-CN"/>
        </w:rPr>
        <w:t>总</w:t>
      </w:r>
      <w:r>
        <w:rPr>
          <w:rFonts w:ascii="宋体" w:hAnsi="宋体" w:eastAsia="宋体" w:cs="宋体"/>
          <w:spacing w:val="-1"/>
          <w:sz w:val="24"/>
          <w:szCs w:val="24"/>
        </w:rPr>
        <w:t>量；</w:t>
      </w:r>
    </w:p>
    <w:p w14:paraId="31B4E660">
      <w:pPr>
        <w:spacing w:before="184" w:line="220" w:lineRule="auto"/>
        <w:ind w:left="482"/>
        <w:rPr>
          <w:rFonts w:ascii="宋体" w:hAnsi="宋体" w:eastAsia="宋体" w:cs="宋体"/>
          <w:sz w:val="24"/>
          <w:szCs w:val="24"/>
        </w:rPr>
      </w:pPr>
      <w:r>
        <w:rPr>
          <w:rFonts w:hint="default" w:ascii="Times New Roman" w:hAnsi="Times New Roman" w:eastAsia="等线" w:cs="Times New Roman"/>
          <w:b w:val="0"/>
          <w:bCs w:val="0"/>
          <w:i/>
          <w:iCs/>
          <w:snapToGrid/>
          <w:color w:val="auto"/>
          <w:kern w:val="2"/>
          <w:sz w:val="24"/>
          <w:szCs w:val="24"/>
          <w:vertAlign w:val="baseline"/>
          <w:lang w:eastAsia="zh-CN"/>
        </w:rPr>
        <w:t>S</w:t>
      </w:r>
      <w:r>
        <w:rPr>
          <w:rFonts w:ascii="Times New Roman" w:hAnsi="Times New Roman" w:eastAsia="Times New Roman" w:cs="Times New Roman"/>
          <w:spacing w:val="1"/>
          <w:sz w:val="24"/>
          <w:szCs w:val="24"/>
        </w:rPr>
        <w:t>——</w:t>
      </w:r>
      <w:r>
        <w:rPr>
          <w:rFonts w:hint="eastAsia" w:ascii="Times New Roman" w:hAnsi="Times New Roman" w:eastAsia="Times New Roman" w:cs="Times New Roman"/>
          <w:spacing w:val="1"/>
          <w:sz w:val="24"/>
          <w:szCs w:val="24"/>
        </w:rPr>
        <w:t>施工</w:t>
      </w:r>
      <w:r>
        <w:rPr>
          <w:rFonts w:ascii="宋体" w:hAnsi="宋体" w:eastAsia="宋体" w:cs="宋体"/>
          <w:spacing w:val="1"/>
          <w:sz w:val="24"/>
          <w:szCs w:val="24"/>
        </w:rPr>
        <w:t>面积；</w:t>
      </w:r>
    </w:p>
    <w:p w14:paraId="7A8A86EC">
      <w:pPr>
        <w:spacing w:before="182" w:line="219" w:lineRule="auto"/>
        <w:ind w:left="486"/>
        <w:rPr>
          <w:rFonts w:hint="eastAsia" w:ascii="Times New Roman" w:hAnsi="Times New Roman" w:eastAsia="Times New Roman" w:cs="Times New Roman"/>
          <w:spacing w:val="1"/>
          <w:sz w:val="24"/>
          <w:szCs w:val="24"/>
        </w:rPr>
      </w:pPr>
      <w:r>
        <w:rPr>
          <w:rFonts w:hint="default" w:ascii="Times New Roman" w:hAnsi="Times New Roman" w:eastAsia="等线" w:cs="Times New Roman"/>
          <w:b w:val="0"/>
          <w:bCs w:val="0"/>
          <w:i/>
          <w:iCs/>
          <w:snapToGrid/>
          <w:color w:val="auto"/>
          <w:kern w:val="2"/>
          <w:sz w:val="24"/>
          <w:szCs w:val="24"/>
          <w:lang w:eastAsia="zh-CN"/>
        </w:rPr>
        <w:t>E</w:t>
      </w:r>
      <w:r>
        <w:rPr>
          <w:rFonts w:hint="default" w:ascii="Times New Roman" w:hAnsi="Times New Roman" w:eastAsia="等线" w:cs="Times New Roman"/>
          <w:b w:val="0"/>
          <w:bCs w:val="0"/>
          <w:i/>
          <w:iCs/>
          <w:snapToGrid/>
          <w:color w:val="auto"/>
          <w:kern w:val="2"/>
          <w:sz w:val="24"/>
          <w:szCs w:val="24"/>
          <w:vertAlign w:val="subscript"/>
          <w:lang w:eastAsia="zh-CN"/>
        </w:rPr>
        <w:t>总强度</w:t>
      </w:r>
      <w:r>
        <w:rPr>
          <w:rFonts w:ascii="Times New Roman" w:hAnsi="Times New Roman" w:eastAsia="Times New Roman" w:cs="Times New Roman"/>
          <w:spacing w:val="-1"/>
          <w:sz w:val="24"/>
          <w:szCs w:val="24"/>
        </w:rPr>
        <w:t>——</w:t>
      </w:r>
      <w:r>
        <w:rPr>
          <w:rFonts w:hint="eastAsia" w:ascii="Times New Roman" w:hAnsi="Times New Roman" w:eastAsia="Times New Roman" w:cs="Times New Roman"/>
          <w:spacing w:val="1"/>
          <w:sz w:val="24"/>
          <w:szCs w:val="24"/>
        </w:rPr>
        <w:t>常规施工下单位面积碳排放量；</w:t>
      </w:r>
    </w:p>
    <w:p w14:paraId="1CE3EF83">
      <w:pPr>
        <w:spacing w:before="182" w:line="219" w:lineRule="auto"/>
        <w:ind w:left="486"/>
        <w:rPr>
          <w:rFonts w:hint="eastAsia" w:ascii="Times New Roman" w:hAnsi="Times New Roman" w:eastAsia="宋体" w:cs="Times New Roman"/>
          <w:spacing w:val="1"/>
          <w:sz w:val="24"/>
          <w:szCs w:val="24"/>
          <w:lang w:eastAsia="zh-CN"/>
        </w:rPr>
      </w:pPr>
      <w:r>
        <w:rPr>
          <w:rFonts w:hint="default" w:ascii="Times New Roman" w:hAnsi="Times New Roman" w:eastAsia="等线" w:cs="Times New Roman"/>
          <w:b w:val="0"/>
          <w:bCs w:val="0"/>
          <w:i/>
          <w:iCs/>
          <w:snapToGrid/>
          <w:color w:val="auto"/>
          <w:kern w:val="2"/>
          <w:sz w:val="24"/>
          <w:szCs w:val="24"/>
          <w:lang w:eastAsia="zh-CN"/>
        </w:rPr>
        <w:t>e</w:t>
      </w:r>
      <w:r>
        <w:rPr>
          <w:rFonts w:hint="eastAsia" w:ascii="Times New Roman" w:hAnsi="Times New Roman" w:eastAsia="等线" w:cs="Times New Roman"/>
          <w:b w:val="0"/>
          <w:bCs w:val="0"/>
          <w:i/>
          <w:iCs/>
          <w:snapToGrid/>
          <w:color w:val="auto"/>
          <w:kern w:val="2"/>
          <w:sz w:val="24"/>
          <w:szCs w:val="24"/>
          <w:lang w:val="en-US" w:eastAsia="zh-CN"/>
        </w:rPr>
        <w:t xml:space="preserve"> </w:t>
      </w:r>
      <w:r>
        <w:rPr>
          <w:rFonts w:ascii="Times New Roman" w:hAnsi="Times New Roman" w:eastAsia="Times New Roman" w:cs="Times New Roman"/>
          <w:spacing w:val="-1"/>
          <w:sz w:val="24"/>
          <w:szCs w:val="24"/>
        </w:rPr>
        <w:t>——</w:t>
      </w:r>
      <w:r>
        <w:rPr>
          <w:rFonts w:hint="eastAsia" w:ascii="Times New Roman" w:hAnsi="Times New Roman" w:eastAsia="宋体" w:cs="Times New Roman"/>
          <w:spacing w:val="-1"/>
          <w:sz w:val="24"/>
          <w:szCs w:val="24"/>
          <w:lang w:val="en-US" w:eastAsia="zh-CN"/>
        </w:rPr>
        <w:t xml:space="preserve"> </w:t>
      </w:r>
      <w:r>
        <w:rPr>
          <w:rFonts w:hint="eastAsia" w:ascii="Times New Roman" w:hAnsi="Times New Roman" w:eastAsia="Times New Roman" w:cs="Times New Roman"/>
          <w:spacing w:val="1"/>
          <w:sz w:val="24"/>
          <w:szCs w:val="24"/>
        </w:rPr>
        <w:t>碳减排率</w:t>
      </w:r>
      <w:r>
        <w:rPr>
          <w:rFonts w:hint="eastAsia" w:ascii="Times New Roman" w:hAnsi="Times New Roman" w:eastAsia="宋体" w:cs="Times New Roman"/>
          <w:spacing w:val="1"/>
          <w:sz w:val="24"/>
          <w:szCs w:val="24"/>
          <w:lang w:eastAsia="zh-CN"/>
        </w:rPr>
        <w:t>。</w:t>
      </w:r>
    </w:p>
    <w:p w14:paraId="458B70D9">
      <w:pPr>
        <w:spacing w:before="184" w:line="218" w:lineRule="auto"/>
        <w:ind w:left="489"/>
        <w:rPr>
          <w:rFonts w:ascii="宋体" w:hAnsi="宋体" w:eastAsia="宋体" w:cs="宋体"/>
          <w:sz w:val="24"/>
          <w:szCs w:val="24"/>
        </w:rPr>
      </w:pPr>
    </w:p>
    <w:p w14:paraId="3BC3EABE">
      <w:pPr>
        <w:spacing w:line="218" w:lineRule="auto"/>
        <w:rPr>
          <w:rFonts w:ascii="宋体" w:hAnsi="宋体" w:eastAsia="宋体" w:cs="宋体"/>
          <w:sz w:val="24"/>
          <w:szCs w:val="24"/>
        </w:rPr>
        <w:sectPr>
          <w:footerReference r:id="rId13" w:type="default"/>
          <w:pgSz w:w="11906" w:h="16839"/>
          <w:pgMar w:top="400" w:right="1785" w:bottom="1152" w:left="1785" w:header="0" w:footer="987" w:gutter="0"/>
          <w:pgNumType w:fmt="decimal"/>
          <w:cols w:space="720" w:num="1"/>
        </w:sectPr>
      </w:pPr>
    </w:p>
    <w:p w14:paraId="63D63AD9">
      <w:pPr>
        <w:pStyle w:val="7"/>
        <w:spacing w:line="281" w:lineRule="auto"/>
      </w:pPr>
    </w:p>
    <w:p w14:paraId="69F95144">
      <w:pPr>
        <w:pStyle w:val="7"/>
        <w:spacing w:line="282" w:lineRule="auto"/>
      </w:pPr>
    </w:p>
    <w:p w14:paraId="252CA729">
      <w:pPr>
        <w:pStyle w:val="7"/>
        <w:spacing w:line="282" w:lineRule="auto"/>
      </w:pPr>
    </w:p>
    <w:p w14:paraId="5FA1C86A">
      <w:pPr>
        <w:pStyle w:val="7"/>
        <w:spacing w:line="282" w:lineRule="auto"/>
      </w:pPr>
    </w:p>
    <w:p w14:paraId="72567E73">
      <w:pPr>
        <w:pStyle w:val="7"/>
        <w:spacing w:line="282" w:lineRule="auto"/>
      </w:pPr>
    </w:p>
    <w:p w14:paraId="18E98887">
      <w:pPr>
        <w:spacing w:before="97" w:line="220" w:lineRule="auto"/>
        <w:ind w:left="3047"/>
        <w:outlineLvl w:val="0"/>
        <w:rPr>
          <w:rFonts w:ascii="宋体" w:hAnsi="宋体" w:eastAsia="宋体" w:cs="宋体"/>
          <w:sz w:val="30"/>
          <w:szCs w:val="30"/>
        </w:rPr>
      </w:pPr>
      <w:bookmarkStart w:id="10" w:name="bookmark77"/>
      <w:bookmarkEnd w:id="10"/>
      <w:bookmarkStart w:id="11" w:name="_Toc24046"/>
      <w:r>
        <w:rPr>
          <w:rFonts w:ascii="Times New Roman" w:hAnsi="Times New Roman" w:eastAsia="Times New Roman" w:cs="Times New Roman"/>
          <w:b/>
          <w:bCs/>
          <w:spacing w:val="-3"/>
          <w:sz w:val="30"/>
          <w:szCs w:val="30"/>
        </w:rPr>
        <w:t xml:space="preserve">3    </w:t>
      </w:r>
      <w:r>
        <w:rPr>
          <w:rFonts w:hint="eastAsia" w:ascii="宋体" w:hAnsi="宋体" w:eastAsia="宋体" w:cs="宋体"/>
          <w:b/>
          <w:bCs/>
          <w:spacing w:val="-3"/>
          <w:sz w:val="30"/>
          <w:szCs w:val="30"/>
        </w:rPr>
        <w:t>基本规定</w:t>
      </w:r>
      <w:bookmarkEnd w:id="11"/>
    </w:p>
    <w:p w14:paraId="08A0E01B">
      <w:pPr>
        <w:pStyle w:val="7"/>
        <w:spacing w:line="246" w:lineRule="auto"/>
      </w:pPr>
    </w:p>
    <w:p w14:paraId="14E16008">
      <w:pPr>
        <w:pStyle w:val="7"/>
        <w:spacing w:line="246" w:lineRule="auto"/>
      </w:pPr>
    </w:p>
    <w:p w14:paraId="32EC1994">
      <w:pPr>
        <w:spacing w:before="91" w:line="222" w:lineRule="auto"/>
        <w:ind w:left="3109"/>
        <w:outlineLvl w:val="1"/>
        <w:rPr>
          <w:rFonts w:ascii="黑体" w:hAnsi="黑体" w:eastAsia="黑体" w:cs="黑体"/>
          <w:sz w:val="28"/>
          <w:szCs w:val="28"/>
        </w:rPr>
      </w:pPr>
      <w:bookmarkStart w:id="12" w:name="bookmark136"/>
      <w:bookmarkEnd w:id="12"/>
      <w:bookmarkStart w:id="13" w:name="_Toc5391"/>
      <w:r>
        <w:rPr>
          <w:rFonts w:ascii="Times New Roman" w:hAnsi="Times New Roman" w:eastAsia="Times New Roman" w:cs="Times New Roman"/>
          <w:b/>
          <w:bCs/>
          <w:spacing w:val="-5"/>
          <w:sz w:val="24"/>
          <w:szCs w:val="24"/>
        </w:rPr>
        <w:t>3.1</w:t>
      </w:r>
      <w:r>
        <w:rPr>
          <w:rFonts w:ascii="Times New Roman" w:hAnsi="Times New Roman" w:eastAsia="Times New Roman" w:cs="Times New Roman"/>
          <w:b/>
          <w:bCs/>
          <w:spacing w:val="13"/>
          <w:sz w:val="24"/>
          <w:szCs w:val="24"/>
        </w:rPr>
        <w:t xml:space="preserve">  </w:t>
      </w:r>
      <w:r>
        <w:rPr>
          <w:rFonts w:ascii="黑体" w:hAnsi="黑体" w:eastAsia="黑体" w:cs="黑体"/>
          <w:b/>
          <w:bCs/>
          <w:spacing w:val="-5"/>
          <w:sz w:val="28"/>
          <w:szCs w:val="28"/>
        </w:rPr>
        <w:t>一般规定</w:t>
      </w:r>
      <w:bookmarkEnd w:id="13"/>
    </w:p>
    <w:p w14:paraId="64C05DC7">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3</w:t>
      </w:r>
      <w:r>
        <w:rPr>
          <w:rFonts w:hint="eastAsia" w:ascii="Times New Roman" w:hAnsi="Times New Roman" w:eastAsia="Times New Roman" w:cs="Times New Roman"/>
          <w:b/>
          <w:bCs/>
          <w:sz w:val="24"/>
          <w:szCs w:val="24"/>
        </w:rPr>
        <w:t xml:space="preserve">.1.1    </w:t>
      </w:r>
      <w:r>
        <w:rPr>
          <w:rFonts w:hint="eastAsia" w:ascii="宋体" w:hAnsi="宋体" w:eastAsia="宋体" w:cs="宋体"/>
          <w:sz w:val="24"/>
          <w:szCs w:val="24"/>
        </w:rPr>
        <w:t>零碳施工应坚持设计先行、施工落地、全程管控、数据支撑、协同减碳的基本原则，将碳减排目标融入施工各阶段策划、实施、验收与评估全过程。</w:t>
      </w:r>
    </w:p>
    <w:p w14:paraId="7190624D">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3</w:t>
      </w:r>
      <w:r>
        <w:rPr>
          <w:rFonts w:hint="eastAsia" w:ascii="Times New Roman" w:hAnsi="Times New Roman" w:eastAsia="Times New Roman" w:cs="Times New Roman"/>
          <w:b/>
          <w:bCs/>
          <w:sz w:val="24"/>
          <w:szCs w:val="24"/>
        </w:rPr>
        <w:t xml:space="preserve">.1.2    </w:t>
      </w:r>
      <w:r>
        <w:rPr>
          <w:rFonts w:hint="eastAsia" w:ascii="宋体" w:hAnsi="宋体" w:eastAsia="宋体" w:cs="宋体"/>
          <w:sz w:val="24"/>
          <w:szCs w:val="24"/>
        </w:rPr>
        <w:t xml:space="preserve"> 新建、扩建、改建建筑的低碳、近零碳、零碳施工，应建立覆盖设计、采购、施工、试运行衔接的全链条碳管控体系，统筹施工管理、施工技术、供应链管理等各环节减碳工作。</w:t>
      </w:r>
    </w:p>
    <w:p w14:paraId="226B77CD">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3</w:t>
      </w:r>
      <w:r>
        <w:rPr>
          <w:rFonts w:hint="eastAsia" w:ascii="Times New Roman" w:hAnsi="Times New Roman" w:eastAsia="Times New Roman" w:cs="Times New Roman"/>
          <w:b/>
          <w:bCs/>
          <w:sz w:val="24"/>
          <w:szCs w:val="24"/>
        </w:rPr>
        <w:t xml:space="preserve">.1.3    </w:t>
      </w:r>
      <w:r>
        <w:rPr>
          <w:rFonts w:hint="eastAsia" w:ascii="宋体" w:hAnsi="宋体" w:eastAsia="宋体" w:cs="宋体"/>
          <w:sz w:val="24"/>
          <w:szCs w:val="24"/>
        </w:rPr>
        <w:t>零碳施工应强化源头管控、过程减排、末端消纳，优先采用低碳技术、绿色建材、可再生能源及电动化施工设备，减少施工全过程碳排放。</w:t>
      </w:r>
    </w:p>
    <w:p w14:paraId="3F917215">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3</w:t>
      </w:r>
      <w:r>
        <w:rPr>
          <w:rFonts w:hint="eastAsia" w:ascii="Times New Roman" w:hAnsi="Times New Roman" w:eastAsia="Times New Roman" w:cs="Times New Roman"/>
          <w:b/>
          <w:bCs/>
          <w:sz w:val="24"/>
          <w:szCs w:val="24"/>
        </w:rPr>
        <w:t xml:space="preserve">.1.4    </w:t>
      </w:r>
      <w:r>
        <w:rPr>
          <w:rFonts w:hint="eastAsia" w:ascii="宋体" w:hAnsi="宋体" w:eastAsia="宋体" w:cs="宋体"/>
          <w:sz w:val="24"/>
          <w:szCs w:val="24"/>
        </w:rPr>
        <w:t>零碳施工应建立协同管理机制，明确碳排放管控责任界面，实现施工全过程碳排放数据的共享、可追溯与闭环管理。</w:t>
      </w:r>
    </w:p>
    <w:p w14:paraId="706F4266">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3</w:t>
      </w:r>
      <w:r>
        <w:rPr>
          <w:rFonts w:hint="eastAsia" w:ascii="Times New Roman" w:hAnsi="Times New Roman" w:eastAsia="Times New Roman" w:cs="Times New Roman"/>
          <w:b/>
          <w:bCs/>
          <w:sz w:val="24"/>
          <w:szCs w:val="24"/>
        </w:rPr>
        <w:t xml:space="preserve">.1.5    </w:t>
      </w:r>
      <w:r>
        <w:rPr>
          <w:rFonts w:hint="eastAsia" w:ascii="宋体" w:hAnsi="宋体" w:eastAsia="宋体" w:cs="宋体"/>
          <w:sz w:val="24"/>
          <w:szCs w:val="24"/>
        </w:rPr>
        <w:t>零碳施工应兼顾技术可行性、经济合理性与环境效益，推动减碳措施与工程质量、施工安全、施工进度管理一体化实施。</w:t>
      </w:r>
    </w:p>
    <w:p w14:paraId="6D101331">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3</w:t>
      </w:r>
      <w:r>
        <w:rPr>
          <w:rFonts w:hint="eastAsia" w:ascii="Times New Roman" w:hAnsi="Times New Roman" w:eastAsia="Times New Roman" w:cs="Times New Roman"/>
          <w:b/>
          <w:bCs/>
          <w:sz w:val="24"/>
          <w:szCs w:val="24"/>
        </w:rPr>
        <w:t xml:space="preserve">.1.6    </w:t>
      </w:r>
      <w:r>
        <w:rPr>
          <w:rFonts w:hint="eastAsia" w:ascii="宋体" w:hAnsi="宋体" w:eastAsia="宋体" w:cs="宋体"/>
          <w:sz w:val="24"/>
          <w:szCs w:val="24"/>
        </w:rPr>
        <w:t>供应链管理应建立完整、可追溯的台账，包括建材采购、供应商评价、运输仓储、回收利用等环节，台账留存时间应满足低碳建造评估与项目验收要求。</w:t>
      </w:r>
    </w:p>
    <w:p w14:paraId="7EB32010">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pacing w:val="-2"/>
          <w:sz w:val="24"/>
          <w:szCs w:val="24"/>
          <w:lang w:eastAsia="zh-CN"/>
        </w:rPr>
        <w:t>3.</w:t>
      </w:r>
      <w:r>
        <w:rPr>
          <w:rFonts w:hint="eastAsia" w:ascii="Times New Roman" w:hAnsi="Times New Roman" w:eastAsia="宋体" w:cs="Times New Roman"/>
          <w:b/>
          <w:bCs/>
          <w:spacing w:val="-2"/>
          <w:sz w:val="24"/>
          <w:szCs w:val="24"/>
          <w:lang w:val="en-US" w:eastAsia="zh-CN"/>
        </w:rPr>
        <w:t>1</w:t>
      </w:r>
      <w:r>
        <w:rPr>
          <w:rFonts w:hint="eastAsia" w:ascii="Times New Roman" w:hAnsi="Times New Roman" w:eastAsia="宋体" w:cs="Times New Roman"/>
          <w:b/>
          <w:bCs/>
          <w:spacing w:val="-2"/>
          <w:sz w:val="24"/>
          <w:szCs w:val="24"/>
          <w:lang w:eastAsia="zh-CN"/>
        </w:rPr>
        <w:t>.7</w:t>
      </w:r>
      <w:r>
        <w:rPr>
          <w:rFonts w:hint="eastAsia" w:ascii="Times New Roman" w:hAnsi="Times New Roman" w:eastAsia="宋体" w:cs="Times New Roman"/>
          <w:b/>
          <w:bCs/>
          <w:spacing w:val="-2"/>
          <w:sz w:val="24"/>
          <w:szCs w:val="24"/>
          <w:lang w:val="en-US" w:eastAsia="zh-CN"/>
        </w:rPr>
        <w:t xml:space="preserve">  </w:t>
      </w:r>
      <w:r>
        <w:rPr>
          <w:rFonts w:hint="eastAsia" w:ascii="Times New Roman" w:hAnsi="Times New Roman" w:eastAsia="宋体" w:cs="Times New Roman"/>
          <w:b/>
          <w:bCs/>
          <w:spacing w:val="-2"/>
          <w:sz w:val="24"/>
          <w:szCs w:val="24"/>
          <w:lang w:eastAsia="zh-CN"/>
        </w:rPr>
        <w:t xml:space="preserve"> </w:t>
      </w:r>
      <w:r>
        <w:rPr>
          <w:rFonts w:hint="eastAsia" w:ascii="宋体" w:hAnsi="宋体" w:eastAsia="宋体" w:cs="宋体"/>
          <w:sz w:val="24"/>
          <w:szCs w:val="24"/>
        </w:rPr>
        <w:t>零碳施工碳排放的计算边界应符合下列规定</w:t>
      </w:r>
      <w:r>
        <w:rPr>
          <w:rFonts w:hint="eastAsia" w:ascii="宋体" w:hAnsi="宋体" w:eastAsia="宋体" w:cs="宋体"/>
          <w:sz w:val="24"/>
          <w:szCs w:val="24"/>
          <w:lang w:eastAsia="zh-CN"/>
        </w:rPr>
        <w:t>：</w:t>
      </w:r>
    </w:p>
    <w:p w14:paraId="28B17648">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1    </w:t>
      </w:r>
      <w:r>
        <w:rPr>
          <w:rFonts w:hint="eastAsia" w:ascii="宋体" w:hAnsi="宋体" w:eastAsia="宋体" w:cs="宋体"/>
          <w:sz w:val="24"/>
          <w:szCs w:val="24"/>
          <w:lang w:val="en-US" w:eastAsia="zh-CN"/>
        </w:rPr>
        <w:t xml:space="preserve">施工阶段碳排放计算时间边界应从项目开工起至项目竣工验收止； </w:t>
      </w:r>
    </w:p>
    <w:p w14:paraId="51ABB021">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rPr>
        <w:t xml:space="preserve">2    </w:t>
      </w:r>
      <w:r>
        <w:rPr>
          <w:rFonts w:hint="eastAsia" w:ascii="宋体" w:hAnsi="宋体" w:eastAsia="宋体" w:cs="宋体"/>
          <w:sz w:val="24"/>
          <w:szCs w:val="24"/>
          <w:lang w:val="en-US" w:eastAsia="zh-CN"/>
        </w:rPr>
        <w:t xml:space="preserve">建筑施工场地区域内的机械设备、小型机具、临时设施等使用过程中消耗的能源产生的碳排放应计入； </w:t>
      </w:r>
    </w:p>
    <w:p w14:paraId="48705F57">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val="en-US" w:eastAsia="zh-CN"/>
        </w:rPr>
        <w:t>3</w:t>
      </w:r>
      <w:r>
        <w:rPr>
          <w:rFonts w:hint="eastAsia" w:ascii="Times New Roman" w:hAnsi="Times New Roman" w:eastAsia="Times New Roman" w:cs="Times New Roman"/>
          <w:b/>
          <w:bCs/>
          <w:sz w:val="24"/>
          <w:szCs w:val="24"/>
        </w:rPr>
        <w:t xml:space="preserve">    </w:t>
      </w:r>
      <w:r>
        <w:rPr>
          <w:rFonts w:hint="eastAsia" w:ascii="宋体" w:hAnsi="宋体" w:eastAsia="宋体" w:cs="宋体"/>
          <w:sz w:val="24"/>
          <w:szCs w:val="24"/>
          <w:lang w:val="en-US" w:eastAsia="zh-CN"/>
        </w:rPr>
        <w:t xml:space="preserve">现场搅拌的混凝土和砂浆、现场制作的构件和部品，其产生的碳排放应计入； </w:t>
      </w:r>
    </w:p>
    <w:p w14:paraId="6DFA882B">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宋体" w:cs="Times New Roman"/>
          <w:b/>
          <w:bCs/>
          <w:sz w:val="24"/>
          <w:szCs w:val="24"/>
          <w:lang w:val="en-US" w:eastAsia="zh-CN"/>
        </w:rPr>
        <w:t>4</w:t>
      </w:r>
      <w:r>
        <w:rPr>
          <w:rFonts w:hint="eastAsia" w:ascii="Times New Roman" w:hAnsi="Times New Roman" w:eastAsia="Times New Roman" w:cs="Times New Roman"/>
          <w:b/>
          <w:bCs/>
          <w:sz w:val="24"/>
          <w:szCs w:val="24"/>
        </w:rPr>
        <w:t xml:space="preserve">    </w:t>
      </w:r>
      <w:r>
        <w:rPr>
          <w:rFonts w:hint="eastAsia" w:ascii="宋体" w:hAnsi="宋体" w:eastAsia="宋体" w:cs="宋体"/>
          <w:sz w:val="24"/>
          <w:szCs w:val="24"/>
          <w:lang w:val="en-US" w:eastAsia="zh-CN"/>
        </w:rPr>
        <w:t>施工</w:t>
      </w:r>
      <w:r>
        <w:rPr>
          <w:rFonts w:hint="eastAsia" w:ascii="宋体" w:hAnsi="宋体" w:eastAsia="宋体" w:cs="宋体"/>
          <w:sz w:val="24"/>
          <w:szCs w:val="24"/>
        </w:rPr>
        <w:t>阶段使用的办公用房、生活用房和材料库房等临时设施的施工和拆除</w:t>
      </w:r>
      <w:r>
        <w:rPr>
          <w:rFonts w:hint="eastAsia" w:ascii="宋体" w:hAnsi="宋体" w:eastAsia="宋体" w:cs="宋体"/>
          <w:sz w:val="24"/>
          <w:szCs w:val="24"/>
          <w:lang w:val="en-US" w:eastAsia="zh-CN"/>
        </w:rPr>
        <w:t>应</w:t>
      </w:r>
      <w:r>
        <w:rPr>
          <w:rFonts w:hint="eastAsia" w:ascii="宋体" w:hAnsi="宋体" w:eastAsia="宋体" w:cs="宋体"/>
          <w:sz w:val="24"/>
          <w:szCs w:val="24"/>
        </w:rPr>
        <w:t>计</w:t>
      </w:r>
      <w:r>
        <w:rPr>
          <w:rFonts w:hint="eastAsia" w:ascii="宋体" w:hAnsi="宋体" w:eastAsia="宋体" w:cs="宋体"/>
          <w:sz w:val="24"/>
          <w:szCs w:val="24"/>
          <w:lang w:val="en-US" w:eastAsia="zh-CN"/>
        </w:rPr>
        <w:t>入</w:t>
      </w:r>
      <w:r>
        <w:rPr>
          <w:rFonts w:hint="eastAsia" w:ascii="宋体" w:hAnsi="宋体" w:eastAsia="宋体" w:cs="宋体"/>
          <w:sz w:val="24"/>
          <w:szCs w:val="24"/>
        </w:rPr>
        <w:t>。</w:t>
      </w:r>
    </w:p>
    <w:p w14:paraId="24D63A07">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3</w:t>
      </w:r>
      <w:r>
        <w:rPr>
          <w:rFonts w:hint="eastAsia" w:ascii="Times New Roman" w:hAnsi="Times New Roman" w:eastAsia="Times New Roman" w:cs="Times New Roman"/>
          <w:b/>
          <w:bCs/>
          <w:sz w:val="24"/>
          <w:szCs w:val="24"/>
        </w:rPr>
        <w:t>.1.</w:t>
      </w:r>
      <w:r>
        <w:rPr>
          <w:rFonts w:hint="eastAsia" w:ascii="Times New Roman" w:hAnsi="Times New Roman" w:eastAsia="宋体" w:cs="Times New Roman"/>
          <w:b/>
          <w:bCs/>
          <w:sz w:val="24"/>
          <w:szCs w:val="24"/>
          <w:lang w:val="en-US" w:eastAsia="zh-CN"/>
        </w:rPr>
        <w:t>8</w:t>
      </w:r>
      <w:r>
        <w:rPr>
          <w:rFonts w:hint="eastAsia" w:ascii="Times New Roman" w:hAnsi="Times New Roman" w:eastAsia="Times New Roman" w:cs="Times New Roman"/>
          <w:b/>
          <w:bCs/>
          <w:sz w:val="24"/>
          <w:szCs w:val="24"/>
        </w:rPr>
        <w:t xml:space="preserve">    </w:t>
      </w:r>
      <w:r>
        <w:rPr>
          <w:rFonts w:hint="eastAsia" w:ascii="宋体" w:hAnsi="宋体" w:eastAsia="宋体" w:cs="宋体"/>
          <w:sz w:val="24"/>
          <w:szCs w:val="24"/>
        </w:rPr>
        <w:t>零碳施工碳排放抵消应符合下列原则：</w:t>
      </w:r>
    </w:p>
    <w:p w14:paraId="0EB2C2A9">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1    </w:t>
      </w:r>
      <w:r>
        <w:rPr>
          <w:rFonts w:hint="eastAsia" w:ascii="宋体" w:hAnsi="宋体" w:eastAsia="宋体" w:cs="宋体"/>
          <w:sz w:val="24"/>
          <w:szCs w:val="24"/>
        </w:rPr>
        <w:t>优先通过技术优化与管理提升实现减排，仅碳排放核算不达标时，方可采用碳汇抵消；</w:t>
      </w:r>
    </w:p>
    <w:p w14:paraId="575FC6B6">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2    </w:t>
      </w:r>
      <w:r>
        <w:rPr>
          <w:rFonts w:hint="eastAsia" w:ascii="宋体" w:hAnsi="宋体" w:eastAsia="宋体" w:cs="宋体"/>
          <w:sz w:val="24"/>
          <w:szCs w:val="24"/>
        </w:rPr>
        <w:t>抵消所用碳信用应为国家核证自愿减排量（CCER）、林业碳汇、合规绿电</w:t>
      </w:r>
      <w:r>
        <w:rPr>
          <w:rFonts w:hint="eastAsia" w:ascii="宋体" w:hAnsi="宋体" w:eastAsia="宋体" w:cs="宋体"/>
          <w:sz w:val="24"/>
          <w:szCs w:val="24"/>
          <w:lang w:val="en-US" w:eastAsia="zh-CN"/>
        </w:rPr>
        <w:t>或</w:t>
      </w:r>
      <w:r>
        <w:rPr>
          <w:rFonts w:hint="eastAsia" w:ascii="宋体" w:hAnsi="宋体" w:eastAsia="宋体" w:cs="宋体"/>
          <w:sz w:val="24"/>
          <w:szCs w:val="24"/>
        </w:rPr>
        <w:t>绿证，严禁使用未经核证的减排量；</w:t>
      </w:r>
    </w:p>
    <w:p w14:paraId="57D0708A">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3    </w:t>
      </w:r>
      <w:r>
        <w:rPr>
          <w:rFonts w:hint="eastAsia" w:ascii="宋体" w:hAnsi="宋体" w:eastAsia="宋体" w:cs="宋体"/>
          <w:sz w:val="24"/>
          <w:szCs w:val="24"/>
        </w:rPr>
        <w:t>碳抵消量不得超过项目建造阶段总排放量的 20%，且不得替代强制性减排措施。</w:t>
      </w:r>
    </w:p>
    <w:p w14:paraId="71DAAAFE">
      <w:pPr>
        <w:pStyle w:val="7"/>
        <w:spacing w:line="461" w:lineRule="auto"/>
      </w:pPr>
    </w:p>
    <w:p w14:paraId="2C8A058D">
      <w:pPr>
        <w:spacing w:before="92" w:line="222" w:lineRule="auto"/>
        <w:ind w:left="3178"/>
        <w:outlineLvl w:val="1"/>
        <w:rPr>
          <w:rFonts w:ascii="黑体" w:hAnsi="黑体" w:eastAsia="黑体" w:cs="黑体"/>
          <w:sz w:val="28"/>
          <w:szCs w:val="28"/>
        </w:rPr>
      </w:pPr>
      <w:bookmarkStart w:id="14" w:name="bookmark37"/>
      <w:bookmarkEnd w:id="14"/>
      <w:bookmarkStart w:id="15" w:name="bookmark36"/>
      <w:bookmarkEnd w:id="15"/>
      <w:bookmarkStart w:id="16" w:name="_Toc19100"/>
      <w:r>
        <w:rPr>
          <w:rFonts w:hint="eastAsia" w:ascii="黑体" w:hAnsi="黑体" w:eastAsia="黑体" w:cs="黑体"/>
          <w:b/>
          <w:bCs/>
          <w:spacing w:val="-5"/>
          <w:sz w:val="24"/>
          <w:szCs w:val="24"/>
          <w:lang w:eastAsia="zh-CN"/>
        </w:rPr>
        <w:t>3</w:t>
      </w:r>
      <w:r>
        <w:rPr>
          <w:rFonts w:ascii="黑体" w:hAnsi="黑体" w:eastAsia="黑体" w:cs="黑体"/>
          <w:b/>
          <w:bCs/>
          <w:spacing w:val="-5"/>
          <w:sz w:val="24"/>
          <w:szCs w:val="24"/>
        </w:rPr>
        <w:t>.2</w:t>
      </w:r>
      <w:r>
        <w:rPr>
          <w:rFonts w:ascii="黑体" w:hAnsi="黑体" w:eastAsia="黑体" w:cs="黑体"/>
          <w:spacing w:val="113"/>
          <w:sz w:val="24"/>
          <w:szCs w:val="24"/>
        </w:rPr>
        <w:t xml:space="preserve"> </w:t>
      </w:r>
      <w:r>
        <w:rPr>
          <w:rFonts w:hint="eastAsia" w:ascii="黑体" w:hAnsi="黑体" w:eastAsia="黑体" w:cs="黑体"/>
          <w:b/>
          <w:bCs/>
          <w:spacing w:val="-5"/>
          <w:sz w:val="28"/>
          <w:szCs w:val="28"/>
        </w:rPr>
        <w:t>组织与职责</w:t>
      </w:r>
      <w:bookmarkEnd w:id="16"/>
    </w:p>
    <w:p w14:paraId="048D78A1">
      <w:pPr>
        <w:pStyle w:val="7"/>
        <w:spacing w:line="460" w:lineRule="auto"/>
      </w:pPr>
    </w:p>
    <w:p w14:paraId="1EFF9B22">
      <w:pPr>
        <w:spacing w:before="78" w:line="219" w:lineRule="auto"/>
        <w:ind w:left="22"/>
        <w:rPr>
          <w:rFonts w:ascii="宋体" w:hAnsi="宋体" w:eastAsia="宋体" w:cs="宋体"/>
          <w:sz w:val="24"/>
          <w:szCs w:val="24"/>
        </w:rPr>
      </w:pPr>
      <w:r>
        <w:rPr>
          <w:rFonts w:hint="eastAsia" w:ascii="Times New Roman" w:hAnsi="Times New Roman" w:eastAsia="宋体" w:cs="Times New Roman"/>
          <w:b/>
          <w:bCs/>
          <w:sz w:val="24"/>
          <w:szCs w:val="24"/>
          <w:lang w:eastAsia="zh-CN"/>
        </w:rPr>
        <w:t>3</w:t>
      </w:r>
      <w:r>
        <w:rPr>
          <w:rFonts w:ascii="Times New Roman" w:hAnsi="Times New Roman" w:eastAsia="Times New Roman" w:cs="Times New Roman"/>
          <w:b/>
          <w:bCs/>
          <w:sz w:val="24"/>
          <w:szCs w:val="24"/>
        </w:rPr>
        <w:t xml:space="preserve">.2.1    </w:t>
      </w:r>
      <w:r>
        <w:rPr>
          <w:rFonts w:hint="eastAsia" w:ascii="宋体" w:hAnsi="宋体" w:eastAsia="宋体" w:cs="宋体"/>
          <w:sz w:val="24"/>
          <w:szCs w:val="24"/>
        </w:rPr>
        <w:t>建设单位作为零碳施工的主导方，应履行下列职责</w:t>
      </w:r>
      <w:r>
        <w:rPr>
          <w:rFonts w:ascii="宋体" w:hAnsi="宋体" w:eastAsia="宋体" w:cs="宋体"/>
          <w:spacing w:val="-1"/>
          <w:sz w:val="24"/>
          <w:szCs w:val="24"/>
        </w:rPr>
        <w:t>：</w:t>
      </w:r>
    </w:p>
    <w:p w14:paraId="06554BAB">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1    </w:t>
      </w:r>
      <w:r>
        <w:rPr>
          <w:rFonts w:hint="eastAsia" w:ascii="宋体" w:hAnsi="宋体" w:eastAsia="宋体" w:cs="宋体"/>
          <w:sz w:val="24"/>
          <w:szCs w:val="24"/>
        </w:rPr>
        <w:t>编制工程概算和招标文件时，明确低碳、近零碳、零碳施工的目标、关键指标及验收要求；</w:t>
      </w:r>
    </w:p>
    <w:p w14:paraId="590E0D4C">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2    </w:t>
      </w:r>
      <w:r>
        <w:rPr>
          <w:rFonts w:hint="eastAsia" w:ascii="宋体" w:hAnsi="宋体" w:eastAsia="宋体" w:cs="宋体"/>
          <w:sz w:val="24"/>
          <w:szCs w:val="24"/>
        </w:rPr>
        <w:t>将零碳供应链管控要求纳入工程合同，为施工单位实施零碳施工提供场地、资金、工期等条件保障；</w:t>
      </w:r>
    </w:p>
    <w:p w14:paraId="237A81F5">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3    </w:t>
      </w:r>
      <w:r>
        <w:rPr>
          <w:rFonts w:hint="eastAsia" w:ascii="宋体" w:hAnsi="宋体" w:eastAsia="宋体" w:cs="宋体"/>
          <w:sz w:val="24"/>
          <w:szCs w:val="24"/>
        </w:rPr>
        <w:t>建立参建各方协同机制，统筹协调设计、施工、监理等单位的零碳施工工作，组织开展施工阶段碳排放效果核查；</w:t>
      </w:r>
    </w:p>
    <w:p w14:paraId="2D1DDFAB">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val="en-US" w:eastAsia="zh-CN"/>
        </w:rPr>
        <w:t>4</w:t>
      </w:r>
      <w:r>
        <w:rPr>
          <w:rFonts w:hint="eastAsia" w:ascii="Times New Roman" w:hAnsi="Times New Roman" w:eastAsia="Times New Roman" w:cs="Times New Roman"/>
          <w:b/>
          <w:bCs/>
          <w:sz w:val="24"/>
          <w:szCs w:val="24"/>
        </w:rPr>
        <w:t xml:space="preserve">    </w:t>
      </w:r>
      <w:r>
        <w:rPr>
          <w:rFonts w:hint="eastAsia" w:ascii="宋体" w:hAnsi="宋体" w:eastAsia="宋体" w:cs="宋体"/>
          <w:sz w:val="24"/>
          <w:szCs w:val="24"/>
        </w:rPr>
        <w:t>对零碳施工的实施效果进行总体考核，推动减碳措施落地执行。</w:t>
      </w:r>
    </w:p>
    <w:p w14:paraId="790304C9">
      <w:pPr>
        <w:spacing w:before="183" w:line="290" w:lineRule="auto"/>
        <w:ind w:left="23" w:right="35" w:hanging="1"/>
        <w:rPr>
          <w:rFonts w:hint="eastAsia" w:ascii="宋体" w:hAnsi="宋体" w:eastAsia="宋体" w:cs="宋体"/>
          <w:spacing w:val="-2"/>
          <w:sz w:val="24"/>
          <w:szCs w:val="24"/>
        </w:rPr>
      </w:pPr>
      <w:r>
        <w:rPr>
          <w:rFonts w:hint="eastAsia" w:ascii="Times New Roman" w:hAnsi="Times New Roman" w:eastAsia="宋体" w:cs="Times New Roman"/>
          <w:b/>
          <w:bCs/>
          <w:spacing w:val="-2"/>
          <w:sz w:val="24"/>
          <w:szCs w:val="24"/>
          <w:lang w:eastAsia="zh-CN"/>
        </w:rPr>
        <w:t>3</w:t>
      </w:r>
      <w:r>
        <w:rPr>
          <w:rFonts w:ascii="Times New Roman" w:hAnsi="Times New Roman" w:eastAsia="Times New Roman" w:cs="Times New Roman"/>
          <w:b/>
          <w:bCs/>
          <w:spacing w:val="-2"/>
          <w:sz w:val="24"/>
          <w:szCs w:val="24"/>
        </w:rPr>
        <w:t xml:space="preserve">.2.2    </w:t>
      </w:r>
      <w:r>
        <w:rPr>
          <w:rFonts w:hint="eastAsia" w:ascii="宋体" w:hAnsi="宋体" w:eastAsia="宋体" w:cs="宋体"/>
          <w:spacing w:val="-2"/>
          <w:sz w:val="24"/>
          <w:szCs w:val="24"/>
        </w:rPr>
        <w:t>设计单位应履行下列职责：</w:t>
      </w:r>
    </w:p>
    <w:p w14:paraId="2E909529">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1    </w:t>
      </w:r>
      <w:r>
        <w:rPr>
          <w:rFonts w:hint="eastAsia" w:ascii="宋体" w:hAnsi="宋体" w:eastAsia="宋体" w:cs="宋体"/>
          <w:sz w:val="24"/>
          <w:szCs w:val="24"/>
        </w:rPr>
        <w:t>按照国家现行低碳、绿色建筑相关标准及建设单位要求开展工程设计，明确施工阶段零碳实施的关键技术参数与材料选型要求；</w:t>
      </w:r>
    </w:p>
    <w:p w14:paraId="0524C2E6">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2    </w:t>
      </w:r>
      <w:r>
        <w:rPr>
          <w:rFonts w:hint="eastAsia" w:ascii="宋体" w:hAnsi="宋体" w:eastAsia="宋体" w:cs="宋体"/>
          <w:sz w:val="24"/>
          <w:szCs w:val="24"/>
        </w:rPr>
        <w:t>优先选用绿色建材、再生材料、低隐含碳材料，在设计文件中明确材料类型、比例及装配化、可周转构件选型要求；</w:t>
      </w:r>
    </w:p>
    <w:p w14:paraId="013988E2">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3    </w:t>
      </w:r>
      <w:r>
        <w:rPr>
          <w:rFonts w:hint="eastAsia" w:ascii="宋体" w:hAnsi="宋体" w:eastAsia="宋体" w:cs="宋体"/>
          <w:sz w:val="24"/>
          <w:szCs w:val="24"/>
        </w:rPr>
        <w:t>协助施工单位开展零碳施工专题交底，配合解决施工过程中与设计相关的减碳技术问题，对涉及碳排放的设计变更进行碳影响评估。</w:t>
      </w:r>
    </w:p>
    <w:p w14:paraId="31DDF9FC">
      <w:pPr>
        <w:spacing w:before="183" w:line="290" w:lineRule="auto"/>
        <w:ind w:left="23" w:right="35" w:hanging="1"/>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3</w:t>
      </w:r>
      <w:r>
        <w:rPr>
          <w:rFonts w:ascii="Times New Roman" w:hAnsi="Times New Roman" w:eastAsia="Times New Roman" w:cs="Times New Roman"/>
          <w:b/>
          <w:bCs/>
          <w:sz w:val="24"/>
          <w:szCs w:val="24"/>
        </w:rPr>
        <w:t xml:space="preserve">.2.3    </w:t>
      </w:r>
      <w:r>
        <w:rPr>
          <w:rFonts w:hint="eastAsia" w:ascii="宋体" w:hAnsi="宋体" w:eastAsia="宋体" w:cs="宋体"/>
          <w:sz w:val="24"/>
          <w:szCs w:val="24"/>
        </w:rPr>
        <w:t>监理单位应履行下列职责：</w:t>
      </w:r>
    </w:p>
    <w:p w14:paraId="04BC5274">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1    </w:t>
      </w:r>
      <w:r>
        <w:rPr>
          <w:rFonts w:hint="eastAsia" w:ascii="宋体" w:hAnsi="宋体" w:eastAsia="宋体" w:cs="宋体"/>
          <w:sz w:val="24"/>
          <w:szCs w:val="24"/>
        </w:rPr>
        <w:t>对零碳施工组织设计</w:t>
      </w:r>
      <w:r>
        <w:rPr>
          <w:rFonts w:hint="eastAsia" w:ascii="宋体" w:hAnsi="宋体" w:eastAsia="宋体" w:cs="宋体"/>
          <w:sz w:val="24"/>
          <w:szCs w:val="24"/>
          <w:lang w:eastAsia="zh-CN"/>
        </w:rPr>
        <w:t>、</w:t>
      </w:r>
      <w:r>
        <w:rPr>
          <w:rFonts w:hint="eastAsia" w:ascii="宋体" w:hAnsi="宋体" w:eastAsia="宋体" w:cs="宋体"/>
          <w:sz w:val="24"/>
          <w:szCs w:val="24"/>
        </w:rPr>
        <w:t>专项施工方案进行合规性、可行性审查，将碳减排管控要求纳入监理规划</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监理</w:t>
      </w:r>
      <w:r>
        <w:rPr>
          <w:rFonts w:hint="eastAsia" w:ascii="宋体" w:hAnsi="宋体" w:eastAsia="宋体" w:cs="宋体"/>
          <w:sz w:val="24"/>
          <w:szCs w:val="24"/>
        </w:rPr>
        <w:t>实施细则；</w:t>
      </w:r>
    </w:p>
    <w:p w14:paraId="4ED8CBB8">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2    </w:t>
      </w:r>
      <w:r>
        <w:rPr>
          <w:rFonts w:hint="eastAsia" w:ascii="宋体" w:hAnsi="宋体" w:eastAsia="宋体" w:cs="宋体"/>
          <w:sz w:val="24"/>
          <w:szCs w:val="24"/>
        </w:rPr>
        <w:t>对施工单位零碳施工措施的实施过程进行监督检查，重点核查绿色建材应用、设备电动化、可再生能源使用等关键环节的落实情况；</w:t>
      </w:r>
    </w:p>
    <w:p w14:paraId="3C128B03">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3    </w:t>
      </w:r>
      <w:r>
        <w:rPr>
          <w:rFonts w:hint="eastAsia" w:ascii="宋体" w:hAnsi="宋体" w:eastAsia="宋体" w:cs="宋体"/>
          <w:sz w:val="24"/>
          <w:szCs w:val="24"/>
        </w:rPr>
        <w:t>对施工阶段碳排放台账、数据核算进行复核，对零碳施工中存在的问题提出整改要求，并跟踪整改闭环；</w:t>
      </w:r>
    </w:p>
    <w:p w14:paraId="2CD930A9">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4    </w:t>
      </w:r>
      <w:r>
        <w:rPr>
          <w:rFonts w:hint="eastAsia" w:ascii="宋体" w:hAnsi="宋体" w:eastAsia="宋体" w:cs="宋体"/>
          <w:sz w:val="24"/>
          <w:szCs w:val="24"/>
        </w:rPr>
        <w:t>参与零碳施工各阶段验收与低碳建造评估工作，出具监理评估意见。</w:t>
      </w:r>
    </w:p>
    <w:p w14:paraId="0530CFA6">
      <w:pPr>
        <w:spacing w:before="183" w:line="290" w:lineRule="auto"/>
        <w:ind w:left="23" w:right="35" w:hanging="1"/>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3.2.4   </w:t>
      </w:r>
      <w:r>
        <w:rPr>
          <w:rFonts w:hint="eastAsia" w:ascii="宋体" w:hAnsi="宋体" w:eastAsia="宋体" w:cs="宋体"/>
          <w:sz w:val="24"/>
          <w:szCs w:val="24"/>
          <w:lang w:val="en-US" w:eastAsia="zh-CN"/>
        </w:rPr>
        <w:t>施工单位作为零碳施工的实施主体，应履行下列职责：</w:t>
      </w:r>
    </w:p>
    <w:p w14:paraId="2A3E998A">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1   </w:t>
      </w:r>
      <w:r>
        <w:rPr>
          <w:rFonts w:hint="eastAsia" w:ascii="宋体" w:hAnsi="宋体" w:eastAsia="宋体" w:cs="宋体"/>
          <w:sz w:val="24"/>
          <w:szCs w:val="24"/>
          <w:lang w:val="en-US" w:eastAsia="zh-CN"/>
        </w:rPr>
        <w:t>对工程零碳施工负总责，建立以项目经理为第一责任人的零碳施工管理体系，制定零碳施工管理制度及专项方案；</w:t>
      </w:r>
    </w:p>
    <w:p w14:paraId="4F57603F">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2   </w:t>
      </w:r>
      <w:r>
        <w:rPr>
          <w:rFonts w:hint="eastAsia" w:ascii="宋体" w:hAnsi="宋体" w:eastAsia="宋体" w:cs="宋体"/>
          <w:sz w:val="24"/>
          <w:szCs w:val="24"/>
          <w:lang w:val="en-US" w:eastAsia="zh-CN"/>
        </w:rPr>
        <w:t>建立供应链碳管理体系，编制建材采购、供应商管理、运输仓储减碳等专项方案，对分包单位、供应商的零碳施工工作实施统一管理；</w:t>
      </w:r>
    </w:p>
    <w:p w14:paraId="42B329F5">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3   </w:t>
      </w:r>
      <w:r>
        <w:rPr>
          <w:rFonts w:hint="eastAsia" w:ascii="宋体" w:hAnsi="宋体" w:eastAsia="宋体" w:cs="宋体"/>
          <w:sz w:val="24"/>
          <w:szCs w:val="24"/>
          <w:lang w:val="en-US" w:eastAsia="zh-CN"/>
        </w:rPr>
        <w:t>组织开展全员零碳施工培训与技术交底，落实各岗位碳排放管控责任，实施施工全过程碳排放监测、核算与报告；</w:t>
      </w:r>
    </w:p>
    <w:p w14:paraId="556BCAF0">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val="en-US" w:eastAsia="zh-CN"/>
        </w:rPr>
        <w:t>4</w:t>
      </w:r>
      <w:r>
        <w:rPr>
          <w:rFonts w:hint="eastAsia" w:ascii="Times New Roman" w:hAnsi="Times New Roman" w:eastAsia="Times New Roman" w:cs="Times New Roman"/>
          <w:b/>
          <w:bCs/>
          <w:sz w:val="24"/>
          <w:szCs w:val="24"/>
        </w:rPr>
        <w:t xml:space="preserve">    </w:t>
      </w:r>
      <w:r>
        <w:rPr>
          <w:rFonts w:hint="eastAsia" w:ascii="宋体" w:hAnsi="宋体" w:eastAsia="宋体" w:cs="宋体"/>
          <w:sz w:val="24"/>
          <w:szCs w:val="24"/>
        </w:rPr>
        <w:t>优先采用低碳施工技术、电动化设备及可再生能源，严格落实绿色建材应用、废弃物资源化利用等减碳措施；</w:t>
      </w:r>
    </w:p>
    <w:p w14:paraId="047E9D76">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val="en-US" w:eastAsia="zh-CN"/>
        </w:rPr>
        <w:t>5</w:t>
      </w:r>
      <w:r>
        <w:rPr>
          <w:rFonts w:hint="eastAsia" w:ascii="Times New Roman" w:hAnsi="Times New Roman" w:eastAsia="Times New Roman" w:cs="Times New Roman"/>
          <w:b/>
          <w:bCs/>
          <w:sz w:val="24"/>
          <w:szCs w:val="24"/>
        </w:rPr>
        <w:t xml:space="preserve">    </w:t>
      </w:r>
      <w:r>
        <w:rPr>
          <w:rFonts w:hint="eastAsia" w:ascii="宋体" w:hAnsi="宋体" w:eastAsia="宋体" w:cs="宋体"/>
          <w:sz w:val="24"/>
          <w:szCs w:val="24"/>
        </w:rPr>
        <w:t>建立零碳施工数字化管理平台，实现碳排放、资源能源消耗、建材使用等数据的实时采集、分析与归档；</w:t>
      </w:r>
    </w:p>
    <w:p w14:paraId="4EB95DFE">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宋体" w:cs="Times New Roman"/>
          <w:b/>
          <w:bCs/>
          <w:sz w:val="24"/>
          <w:szCs w:val="24"/>
          <w:lang w:val="en-US" w:eastAsia="zh-CN"/>
        </w:rPr>
        <w:t>6</w:t>
      </w:r>
      <w:r>
        <w:rPr>
          <w:rFonts w:hint="eastAsia" w:ascii="Times New Roman" w:hAnsi="Times New Roman" w:eastAsia="Times New Roman" w:cs="Times New Roman"/>
          <w:b/>
          <w:bCs/>
          <w:sz w:val="24"/>
          <w:szCs w:val="24"/>
        </w:rPr>
        <w:t xml:space="preserve">    </w:t>
      </w:r>
      <w:r>
        <w:rPr>
          <w:rFonts w:hint="eastAsia" w:ascii="宋体" w:hAnsi="宋体" w:eastAsia="宋体" w:cs="宋体"/>
          <w:sz w:val="24"/>
          <w:szCs w:val="24"/>
        </w:rPr>
        <w:t>配合开展低碳建造评估，按要求提交碳排放核算报告、零碳施工专项资料，落实评估提出的整改要求。</w:t>
      </w:r>
    </w:p>
    <w:p w14:paraId="44C7B117">
      <w:pPr>
        <w:spacing w:before="183" w:line="290" w:lineRule="auto"/>
        <w:ind w:left="23" w:right="35" w:hanging="1"/>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3.2.5   施工</w:t>
      </w:r>
      <w:r>
        <w:rPr>
          <w:rFonts w:hint="eastAsia" w:ascii="宋体" w:hAnsi="宋体" w:eastAsia="宋体" w:cs="宋体"/>
          <w:sz w:val="24"/>
          <w:szCs w:val="24"/>
          <w:lang w:val="en-US" w:eastAsia="zh-CN"/>
        </w:rPr>
        <w:t>分包单位应履行下列职责：</w:t>
      </w:r>
    </w:p>
    <w:p w14:paraId="621E0F03">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1   </w:t>
      </w:r>
      <w:r>
        <w:rPr>
          <w:rFonts w:hint="eastAsia" w:ascii="宋体" w:hAnsi="宋体" w:eastAsia="宋体" w:cs="宋体"/>
          <w:sz w:val="24"/>
          <w:szCs w:val="24"/>
          <w:lang w:val="en-US" w:eastAsia="zh-CN"/>
        </w:rPr>
        <w:t>执行施工单位的零碳施工管理制度及专项方案，落实分包范围内的碳减排措施；</w:t>
      </w:r>
    </w:p>
    <w:p w14:paraId="0038AA13">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2   </w:t>
      </w:r>
      <w:r>
        <w:rPr>
          <w:rFonts w:hint="eastAsia" w:ascii="宋体" w:hAnsi="宋体" w:eastAsia="宋体" w:cs="宋体"/>
          <w:sz w:val="24"/>
          <w:szCs w:val="24"/>
          <w:lang w:val="en-US" w:eastAsia="zh-CN"/>
        </w:rPr>
        <w:t>建立分包工程碳排放管控台账，及时向总承包单位报送碳排放、资源能源消耗等相关数据；</w:t>
      </w:r>
    </w:p>
    <w:p w14:paraId="1F04C172">
      <w:pPr>
        <w:spacing w:before="184" w:line="313" w:lineRule="auto"/>
        <w:ind w:left="23" w:right="13" w:firstLine="476"/>
        <w:rPr>
          <w:color w:val="000000"/>
          <w:sz w:val="24"/>
          <w:szCs w:val="24"/>
        </w:rPr>
      </w:pPr>
      <w:r>
        <w:rPr>
          <w:rFonts w:hint="eastAsia" w:ascii="Times New Roman" w:hAnsi="Times New Roman" w:eastAsia="Times New Roman" w:cs="Times New Roman"/>
          <w:b/>
          <w:bCs/>
          <w:sz w:val="24"/>
          <w:szCs w:val="24"/>
          <w:lang w:val="en-US" w:eastAsia="zh-CN"/>
        </w:rPr>
        <w:t xml:space="preserve">3   </w:t>
      </w:r>
      <w:r>
        <w:rPr>
          <w:rFonts w:hint="eastAsia" w:ascii="宋体" w:hAnsi="宋体" w:eastAsia="宋体" w:cs="宋体"/>
          <w:sz w:val="24"/>
          <w:szCs w:val="24"/>
          <w:lang w:val="en-US" w:eastAsia="zh-CN"/>
        </w:rPr>
        <w:t>优先采用低碳施工工艺，规范使用电动化施工设备，减少施工过程中的碳排放与资源浪费。</w:t>
      </w:r>
    </w:p>
    <w:p w14:paraId="3DE0D90C">
      <w:pPr>
        <w:spacing w:before="183" w:line="290" w:lineRule="auto"/>
        <w:ind w:left="23" w:right="35" w:hanging="1"/>
        <w:rPr>
          <w:rFonts w:hint="eastAsia" w:ascii="宋体" w:hAnsi="宋体" w:eastAsia="宋体" w:cs="宋体"/>
          <w:spacing w:val="-2"/>
          <w:sz w:val="24"/>
          <w:szCs w:val="24"/>
        </w:rPr>
      </w:pPr>
      <w:r>
        <w:rPr>
          <w:rFonts w:hint="eastAsia" w:ascii="Times New Roman" w:hAnsi="Times New Roman" w:eastAsia="宋体" w:cs="Times New Roman"/>
          <w:b/>
          <w:bCs/>
          <w:spacing w:val="-2"/>
          <w:sz w:val="24"/>
          <w:szCs w:val="24"/>
          <w:lang w:eastAsia="zh-CN"/>
        </w:rPr>
        <w:t>3</w:t>
      </w:r>
      <w:r>
        <w:rPr>
          <w:rFonts w:ascii="Times New Roman" w:hAnsi="Times New Roman" w:eastAsia="Times New Roman" w:cs="Times New Roman"/>
          <w:b/>
          <w:bCs/>
          <w:spacing w:val="-2"/>
          <w:sz w:val="24"/>
          <w:szCs w:val="24"/>
        </w:rPr>
        <w:t>.2.</w:t>
      </w:r>
      <w:r>
        <w:rPr>
          <w:rFonts w:hint="eastAsia" w:ascii="Times New Roman" w:hAnsi="Times New Roman" w:eastAsia="宋体" w:cs="Times New Roman"/>
          <w:b/>
          <w:bCs/>
          <w:spacing w:val="-2"/>
          <w:sz w:val="24"/>
          <w:szCs w:val="24"/>
          <w:lang w:val="en-US" w:eastAsia="zh-CN"/>
        </w:rPr>
        <w:t>6</w:t>
      </w:r>
      <w:r>
        <w:rPr>
          <w:rFonts w:ascii="Times New Roman" w:hAnsi="Times New Roman" w:eastAsia="Times New Roman" w:cs="Times New Roman"/>
          <w:b/>
          <w:bCs/>
          <w:spacing w:val="-2"/>
          <w:sz w:val="24"/>
          <w:szCs w:val="24"/>
        </w:rPr>
        <w:t xml:space="preserve">    </w:t>
      </w:r>
      <w:r>
        <w:rPr>
          <w:rFonts w:hint="eastAsia" w:ascii="宋体" w:hAnsi="宋体" w:eastAsia="宋体" w:cs="宋体"/>
          <w:spacing w:val="-2"/>
          <w:sz w:val="24"/>
          <w:szCs w:val="24"/>
        </w:rPr>
        <w:t>供应商（含建材、设备生产及运输服务商）应履行下列职责：</w:t>
      </w:r>
    </w:p>
    <w:p w14:paraId="1A025648">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1    </w:t>
      </w:r>
      <w:r>
        <w:rPr>
          <w:rFonts w:hint="eastAsia" w:ascii="宋体" w:hAnsi="宋体" w:eastAsia="宋体" w:cs="宋体"/>
          <w:sz w:val="24"/>
          <w:szCs w:val="24"/>
        </w:rPr>
        <w:t>按合同约定提供符合低碳要求的建材、设备，出具绿色建材认证证书、碳足迹报告、全生命周期碳排放报告等证明文件；</w:t>
      </w:r>
    </w:p>
    <w:p w14:paraId="04451890">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2    </w:t>
      </w:r>
      <w:r>
        <w:rPr>
          <w:rFonts w:hint="eastAsia" w:ascii="宋体" w:hAnsi="宋体" w:eastAsia="宋体" w:cs="宋体"/>
          <w:sz w:val="24"/>
          <w:szCs w:val="24"/>
        </w:rPr>
        <w:t>配合施工单位开展供应链低碳管控，落实绿色运输、仓储减碳及建材回收利用等要求；</w:t>
      </w:r>
    </w:p>
    <w:p w14:paraId="68512C2E">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3    </w:t>
      </w:r>
      <w:r>
        <w:rPr>
          <w:rFonts w:hint="eastAsia" w:ascii="宋体" w:hAnsi="宋体" w:eastAsia="宋体" w:cs="宋体"/>
          <w:sz w:val="24"/>
          <w:szCs w:val="24"/>
        </w:rPr>
        <w:t>如实提供碳排放相关数据，接受施工单位的低碳绩效评估，配合开展碳排放溯源核查。</w:t>
      </w:r>
    </w:p>
    <w:p w14:paraId="3843E26C">
      <w:pPr>
        <w:pStyle w:val="7"/>
        <w:spacing w:line="458" w:lineRule="auto"/>
      </w:pPr>
    </w:p>
    <w:p w14:paraId="09EFD576">
      <w:pPr>
        <w:spacing w:before="92" w:line="224" w:lineRule="auto"/>
        <w:ind w:left="3109"/>
        <w:outlineLvl w:val="1"/>
        <w:rPr>
          <w:rFonts w:hint="default" w:ascii="黑体" w:hAnsi="黑体" w:eastAsia="黑体" w:cs="黑体"/>
          <w:sz w:val="28"/>
          <w:szCs w:val="28"/>
          <w:lang w:val="en-US" w:eastAsia="zh-CN"/>
        </w:rPr>
      </w:pPr>
      <w:bookmarkStart w:id="17" w:name="bookmark38"/>
      <w:bookmarkEnd w:id="17"/>
      <w:bookmarkStart w:id="18" w:name="bookmark39"/>
      <w:bookmarkEnd w:id="18"/>
      <w:bookmarkStart w:id="19" w:name="_Toc26138"/>
      <w:r>
        <w:rPr>
          <w:rFonts w:hint="eastAsia" w:ascii="黑体" w:hAnsi="黑体" w:eastAsia="黑体" w:cs="黑体"/>
          <w:b/>
          <w:bCs/>
          <w:spacing w:val="-6"/>
          <w:sz w:val="24"/>
          <w:szCs w:val="24"/>
          <w:lang w:eastAsia="zh-CN"/>
        </w:rPr>
        <w:t>3</w:t>
      </w:r>
      <w:r>
        <w:rPr>
          <w:rFonts w:ascii="黑体" w:hAnsi="黑体" w:eastAsia="黑体" w:cs="黑体"/>
          <w:b/>
          <w:bCs/>
          <w:spacing w:val="-6"/>
          <w:sz w:val="24"/>
          <w:szCs w:val="24"/>
        </w:rPr>
        <w:t>.3</w:t>
      </w:r>
      <w:r>
        <w:rPr>
          <w:rFonts w:ascii="黑体" w:hAnsi="黑体" w:eastAsia="黑体" w:cs="黑体"/>
          <w:spacing w:val="106"/>
          <w:sz w:val="24"/>
          <w:szCs w:val="24"/>
        </w:rPr>
        <w:t xml:space="preserve"> </w:t>
      </w:r>
      <w:r>
        <w:rPr>
          <w:rFonts w:ascii="黑体" w:hAnsi="黑体" w:eastAsia="黑体" w:cs="黑体"/>
          <w:b/>
          <w:bCs/>
          <w:spacing w:val="-6"/>
          <w:sz w:val="28"/>
          <w:szCs w:val="28"/>
        </w:rPr>
        <w:t>管理</w:t>
      </w:r>
      <w:r>
        <w:rPr>
          <w:rFonts w:hint="eastAsia" w:ascii="黑体" w:hAnsi="黑体" w:eastAsia="黑体" w:cs="黑体"/>
          <w:b/>
          <w:bCs/>
          <w:spacing w:val="-6"/>
          <w:sz w:val="28"/>
          <w:szCs w:val="28"/>
          <w:lang w:val="en-US" w:eastAsia="zh-CN"/>
        </w:rPr>
        <w:t>要求</w:t>
      </w:r>
      <w:bookmarkEnd w:id="19"/>
    </w:p>
    <w:p w14:paraId="7D098F53">
      <w:pPr>
        <w:pStyle w:val="7"/>
        <w:spacing w:line="265" w:lineRule="auto"/>
      </w:pPr>
    </w:p>
    <w:p w14:paraId="20F52D9F">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pacing w:val="-2"/>
          <w:sz w:val="24"/>
          <w:szCs w:val="24"/>
          <w:lang w:eastAsia="zh-CN"/>
        </w:rPr>
        <w:t>3.</w:t>
      </w:r>
      <w:r>
        <w:rPr>
          <w:rFonts w:hint="eastAsia" w:ascii="Times New Roman" w:hAnsi="Times New Roman" w:eastAsia="宋体" w:cs="Times New Roman"/>
          <w:b/>
          <w:bCs/>
          <w:spacing w:val="-2"/>
          <w:sz w:val="24"/>
          <w:szCs w:val="24"/>
          <w:lang w:val="en-US" w:eastAsia="zh-CN"/>
        </w:rPr>
        <w:t>3</w:t>
      </w:r>
      <w:r>
        <w:rPr>
          <w:rFonts w:hint="eastAsia" w:ascii="Times New Roman" w:hAnsi="Times New Roman" w:eastAsia="宋体" w:cs="Times New Roman"/>
          <w:b/>
          <w:bCs/>
          <w:spacing w:val="-2"/>
          <w:sz w:val="24"/>
          <w:szCs w:val="24"/>
          <w:lang w:eastAsia="zh-CN"/>
        </w:rPr>
        <w:t>.1</w:t>
      </w:r>
      <w:r>
        <w:rPr>
          <w:rFonts w:hint="eastAsia" w:ascii="Times New Roman" w:hAnsi="Times New Roman" w:eastAsia="宋体" w:cs="Times New Roman"/>
          <w:b/>
          <w:bCs/>
          <w:spacing w:val="-2"/>
          <w:sz w:val="24"/>
          <w:szCs w:val="24"/>
          <w:lang w:val="en-US" w:eastAsia="zh-CN"/>
        </w:rPr>
        <w:t xml:space="preserve">   </w:t>
      </w:r>
      <w:r>
        <w:rPr>
          <w:rFonts w:hint="eastAsia" w:ascii="宋体" w:hAnsi="宋体" w:eastAsia="宋体" w:cs="宋体"/>
          <w:sz w:val="24"/>
          <w:szCs w:val="24"/>
        </w:rPr>
        <w:t>施工单位应在开工前开展零碳施工策划，明确施工各阶段碳排放预测值、减碳技术方案、管控指标及责任人，策划内容应报监理单位审查。</w:t>
      </w:r>
    </w:p>
    <w:p w14:paraId="73E3517B">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pacing w:val="-2"/>
          <w:sz w:val="24"/>
          <w:szCs w:val="24"/>
          <w:lang w:eastAsia="zh-CN"/>
        </w:rPr>
        <w:t xml:space="preserve">3.3.2 </w:t>
      </w:r>
      <w:r>
        <w:rPr>
          <w:rFonts w:hint="eastAsia" w:ascii="Times New Roman" w:hAnsi="Times New Roman" w:eastAsia="宋体" w:cs="Times New Roman"/>
          <w:b/>
          <w:bCs/>
          <w:spacing w:val="-2"/>
          <w:sz w:val="24"/>
          <w:szCs w:val="24"/>
          <w:lang w:val="en-US" w:eastAsia="zh-CN"/>
        </w:rPr>
        <w:t xml:space="preserve">  </w:t>
      </w:r>
      <w:r>
        <w:rPr>
          <w:rFonts w:hint="eastAsia" w:ascii="宋体" w:hAnsi="宋体" w:eastAsia="宋体" w:cs="宋体"/>
          <w:sz w:val="24"/>
          <w:szCs w:val="24"/>
        </w:rPr>
        <w:t>施工单位应搭建零碳施工数字化管理平台，整合碳排放、资源能源消耗、供应链、施工工艺等数据，实现各参建方的数据共享与协同管理。</w:t>
      </w:r>
    </w:p>
    <w:p w14:paraId="642CDE66">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pacing w:val="-2"/>
          <w:sz w:val="24"/>
          <w:szCs w:val="24"/>
          <w:lang w:eastAsia="zh-CN"/>
        </w:rPr>
        <w:t xml:space="preserve">3.3.3 </w:t>
      </w:r>
      <w:r>
        <w:rPr>
          <w:rFonts w:hint="eastAsia" w:ascii="Times New Roman" w:hAnsi="Times New Roman" w:eastAsia="宋体" w:cs="Times New Roman"/>
          <w:b/>
          <w:bCs/>
          <w:spacing w:val="-2"/>
          <w:sz w:val="24"/>
          <w:szCs w:val="24"/>
          <w:lang w:val="en-US" w:eastAsia="zh-CN"/>
        </w:rPr>
        <w:t xml:space="preserve">  </w:t>
      </w:r>
      <w:r>
        <w:rPr>
          <w:rFonts w:hint="eastAsia" w:ascii="宋体" w:hAnsi="宋体" w:eastAsia="宋体" w:cs="宋体"/>
          <w:sz w:val="24"/>
          <w:szCs w:val="24"/>
        </w:rPr>
        <w:t>施工单位应开展全员零碳施工教育培训，覆盖管理人员、作业人员，考核合格后方可上岗，重点培训减碳技术、碳排放管控要求及绿色施工规范。</w:t>
      </w:r>
    </w:p>
    <w:p w14:paraId="7547F621">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pacing w:val="-2"/>
          <w:sz w:val="24"/>
          <w:szCs w:val="24"/>
          <w:lang w:eastAsia="zh-CN"/>
        </w:rPr>
        <w:t xml:space="preserve">3.3.4 </w:t>
      </w:r>
      <w:r>
        <w:rPr>
          <w:rFonts w:hint="eastAsia" w:ascii="Times New Roman" w:hAnsi="Times New Roman" w:eastAsia="宋体" w:cs="Times New Roman"/>
          <w:b/>
          <w:bCs/>
          <w:spacing w:val="-2"/>
          <w:sz w:val="24"/>
          <w:szCs w:val="24"/>
          <w:lang w:val="en-US" w:eastAsia="zh-CN"/>
        </w:rPr>
        <w:t xml:space="preserve">  </w:t>
      </w:r>
      <w:r>
        <w:rPr>
          <w:rFonts w:hint="eastAsia" w:ascii="宋体" w:hAnsi="宋体" w:eastAsia="宋体" w:cs="宋体"/>
          <w:sz w:val="24"/>
          <w:szCs w:val="24"/>
        </w:rPr>
        <w:t>参建各方应建立零碳施工相关资料台账管理制度，台账应包括策划文件、施工方案、碳排放数据、建材证明文件、设备使用记录、培训交底记录等，资料留存时间不应少于 5 年。</w:t>
      </w:r>
    </w:p>
    <w:p w14:paraId="061762CE">
      <w:pPr>
        <w:spacing w:before="184" w:line="313" w:lineRule="auto"/>
        <w:ind w:left="23" w:right="13" w:firstLine="476"/>
        <w:rPr>
          <w:rFonts w:hint="eastAsia" w:ascii="宋体" w:hAnsi="宋体" w:eastAsia="宋体" w:cs="宋体"/>
          <w:sz w:val="24"/>
          <w:szCs w:val="24"/>
        </w:rPr>
      </w:pPr>
    </w:p>
    <w:p w14:paraId="0D0D1ACA">
      <w:pPr>
        <w:pStyle w:val="7"/>
        <w:spacing w:line="281" w:lineRule="auto"/>
      </w:pPr>
    </w:p>
    <w:p w14:paraId="070EAADB">
      <w:pPr>
        <w:pStyle w:val="7"/>
        <w:spacing w:line="282" w:lineRule="auto"/>
      </w:pPr>
    </w:p>
    <w:p w14:paraId="71DF98B9">
      <w:pPr>
        <w:pStyle w:val="7"/>
        <w:spacing w:line="282" w:lineRule="auto"/>
      </w:pPr>
    </w:p>
    <w:p w14:paraId="66940321">
      <w:pPr>
        <w:pStyle w:val="7"/>
        <w:spacing w:line="282" w:lineRule="auto"/>
      </w:pPr>
    </w:p>
    <w:p w14:paraId="1FCFC2D0">
      <w:pPr>
        <w:pStyle w:val="7"/>
        <w:spacing w:line="282" w:lineRule="auto"/>
      </w:pPr>
    </w:p>
    <w:p w14:paraId="2F0AEFF3">
      <w:pPr>
        <w:spacing w:before="97" w:line="220" w:lineRule="auto"/>
        <w:ind w:left="3047"/>
        <w:outlineLvl w:val="0"/>
        <w:rPr>
          <w:rFonts w:hint="eastAsia" w:ascii="宋体" w:hAnsi="宋体" w:eastAsia="宋体" w:cs="宋体"/>
          <w:b/>
          <w:bCs/>
          <w:spacing w:val="-3"/>
          <w:sz w:val="30"/>
          <w:szCs w:val="30"/>
        </w:rPr>
      </w:pPr>
      <w:bookmarkStart w:id="20" w:name="_Toc14434"/>
      <w:r>
        <w:rPr>
          <w:rFonts w:ascii="Times New Roman" w:hAnsi="Times New Roman" w:eastAsia="Times New Roman" w:cs="Times New Roman"/>
          <w:b/>
          <w:bCs/>
          <w:spacing w:val="-3"/>
          <w:sz w:val="30"/>
          <w:szCs w:val="30"/>
        </w:rPr>
        <w:t xml:space="preserve">4   </w:t>
      </w:r>
      <w:r>
        <w:rPr>
          <w:rFonts w:hint="eastAsia" w:ascii="宋体" w:hAnsi="宋体" w:eastAsia="宋体" w:cs="宋体"/>
          <w:b/>
          <w:bCs/>
          <w:spacing w:val="-3"/>
          <w:sz w:val="30"/>
          <w:szCs w:val="30"/>
        </w:rPr>
        <w:t xml:space="preserve"> 施工管理</w:t>
      </w:r>
      <w:bookmarkEnd w:id="20"/>
    </w:p>
    <w:p w14:paraId="35B927B1">
      <w:pPr>
        <w:pStyle w:val="7"/>
        <w:spacing w:line="246" w:lineRule="auto"/>
      </w:pPr>
    </w:p>
    <w:p w14:paraId="14A5AB2F">
      <w:pPr>
        <w:spacing w:before="91" w:line="222" w:lineRule="auto"/>
        <w:ind w:left="3109"/>
        <w:outlineLvl w:val="1"/>
        <w:rPr>
          <w:rFonts w:hint="eastAsia" w:ascii="黑体" w:hAnsi="黑体" w:eastAsia="黑体" w:cs="黑体"/>
          <w:b/>
          <w:bCs/>
          <w:spacing w:val="-5"/>
          <w:sz w:val="28"/>
          <w:szCs w:val="28"/>
          <w:lang w:val="en-US" w:eastAsia="zh-CN"/>
        </w:rPr>
      </w:pPr>
      <w:bookmarkStart w:id="21" w:name="bookmark140"/>
      <w:bookmarkEnd w:id="21"/>
      <w:bookmarkStart w:id="22" w:name="_Toc1971"/>
      <w:r>
        <w:rPr>
          <w:rFonts w:ascii="黑体" w:hAnsi="黑体" w:eastAsia="黑体" w:cs="黑体"/>
          <w:b/>
          <w:bCs/>
          <w:spacing w:val="-5"/>
          <w:sz w:val="24"/>
          <w:szCs w:val="24"/>
        </w:rPr>
        <w:t>4.1</w:t>
      </w:r>
      <w:r>
        <w:rPr>
          <w:rFonts w:ascii="黑体" w:hAnsi="黑体" w:eastAsia="黑体" w:cs="黑体"/>
          <w:spacing w:val="109"/>
          <w:sz w:val="24"/>
          <w:szCs w:val="24"/>
        </w:rPr>
        <w:t xml:space="preserve"> </w:t>
      </w:r>
      <w:r>
        <w:rPr>
          <w:rFonts w:hint="eastAsia" w:ascii="黑体" w:hAnsi="黑体" w:eastAsia="黑体" w:cs="黑体"/>
          <w:b/>
          <w:bCs/>
          <w:spacing w:val="-5"/>
          <w:sz w:val="28"/>
          <w:szCs w:val="28"/>
          <w:lang w:val="en-US" w:eastAsia="zh-CN"/>
        </w:rPr>
        <w:t>施工前期管理</w:t>
      </w:r>
      <w:bookmarkEnd w:id="22"/>
    </w:p>
    <w:p w14:paraId="17789367">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4.1.1 施工单位应在施工准备阶段完成零碳施工策划，明确施工零碳管理总体目标。应核查场地状况、能源接入条件、供应链配套能力及环保管控要求。</w:t>
      </w:r>
    </w:p>
    <w:p w14:paraId="322B5362">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4.1.2 施工单位应建立碳管控体系，搭建零碳施工数字化管控平台，明确碳排放数据采集、分项计量、共享追溯、存储归档要求，数据管理应符合本标准3.3.2规定。</w:t>
      </w:r>
    </w:p>
    <w:p w14:paraId="0284A8DA">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4.1.3 施工单位应编制零碳施工专项方案，方案应包含下列内容：</w:t>
      </w:r>
    </w:p>
    <w:p w14:paraId="3C17AA3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碳排放目标分解、核算边界与管控责任矩阵；</w:t>
      </w:r>
    </w:p>
    <w:p w14:paraId="05A404FD">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零碳施工工艺、设备电动化、可再生能源利用计划；</w:t>
      </w:r>
    </w:p>
    <w:p w14:paraId="01C44E53">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绿色建材与再生建材选用、供应链零碳管控措施；</w:t>
      </w:r>
    </w:p>
    <w:p w14:paraId="7B95C97C">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工程废弃物减量化与资源化利用路径；</w:t>
      </w:r>
    </w:p>
    <w:p w14:paraId="5F1284B9">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碳排放监测、核算、报告机制；</w:t>
      </w:r>
    </w:p>
    <w:p w14:paraId="5E51BA5C">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 安全与碳减排协同管控措施。</w:t>
      </w:r>
    </w:p>
    <w:p w14:paraId="4A891224">
      <w:pPr>
        <w:pBdr>
          <w:bottom w:val="none" w:color="auto" w:sz="0" w:space="0"/>
        </w:pBd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4.1.4 施工单位应编制零碳施工专项应急预案，覆盖绿电系统故障、电动施工设备事故、可再生能源系统故障、装配式施工风险、碳排放异常超标等场景。</w:t>
      </w:r>
    </w:p>
    <w:p w14:paraId="17CC931D">
      <w:pPr>
        <w:pBdr>
          <w:bottom w:val="none" w:color="auto" w:sz="0" w:space="0"/>
        </w:pBd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4.1.5 零碳应急资源应配置电动救援设备、绿电应急电源、可周转安全防护装备，严禁使用国家明令淘汰的高耗能、高排放应急设备与物资。</w:t>
      </w:r>
    </w:p>
    <w:p w14:paraId="7C48377A">
      <w:pPr>
        <w:pBdr>
          <w:bottom w:val="none" w:color="auto" w:sz="0" w:space="0"/>
        </w:pBd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4.1.6 施工单位应开展零碳施工专项培训与技术交底，覆盖碳排放管控、零碳工艺、绿电使用、废弃物资源化、安全协同等内容，考核合格后方可上岗，培训与考核资料应归档留存。</w:t>
      </w:r>
    </w:p>
    <w:p w14:paraId="2E361D9B">
      <w:pPr>
        <w:spacing w:before="91" w:line="222" w:lineRule="auto"/>
        <w:jc w:val="center"/>
        <w:outlineLvl w:val="1"/>
        <w:rPr>
          <w:rFonts w:ascii="黑体" w:hAnsi="黑体" w:eastAsia="黑体" w:cs="黑体"/>
          <w:b/>
          <w:bCs/>
          <w:spacing w:val="-5"/>
          <w:sz w:val="24"/>
          <w:szCs w:val="24"/>
        </w:rPr>
      </w:pPr>
      <w:bookmarkStart w:id="23" w:name="_Toc27124"/>
      <w:r>
        <w:rPr>
          <w:rFonts w:ascii="黑体" w:hAnsi="黑体" w:eastAsia="黑体" w:cs="黑体"/>
          <w:b/>
          <w:bCs/>
          <w:spacing w:val="-5"/>
          <w:sz w:val="24"/>
          <w:szCs w:val="24"/>
        </w:rPr>
        <w:t xml:space="preserve">4.2   </w:t>
      </w:r>
      <w:r>
        <w:rPr>
          <w:rFonts w:hint="eastAsia" w:ascii="黑体" w:hAnsi="黑体" w:eastAsia="黑体" w:cs="黑体"/>
          <w:b/>
          <w:bCs/>
          <w:spacing w:val="-5"/>
          <w:sz w:val="24"/>
          <w:szCs w:val="24"/>
        </w:rPr>
        <w:t>施工过程管理</w:t>
      </w:r>
      <w:bookmarkEnd w:id="23"/>
    </w:p>
    <w:p w14:paraId="31317AF4">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宋体" w:hAnsi="宋体" w:eastAsia="宋体" w:cs="宋体"/>
          <w:sz w:val="24"/>
          <w:szCs w:val="24"/>
          <w:lang w:val="en-US" w:eastAsia="zh-CN"/>
        </w:rPr>
        <w:t>4.2.1 进度与碳排放协同管理应</w:t>
      </w:r>
      <w:r>
        <w:rPr>
          <w:rFonts w:hint="eastAsia" w:ascii="宋体" w:hAnsi="宋体" w:eastAsia="宋体" w:cs="宋体"/>
          <w:sz w:val="24"/>
          <w:szCs w:val="24"/>
        </w:rPr>
        <w:t>符合下列规定</w:t>
      </w:r>
      <w:r>
        <w:rPr>
          <w:rFonts w:hint="eastAsia" w:ascii="宋体" w:hAnsi="宋体" w:eastAsia="宋体" w:cs="宋体"/>
          <w:sz w:val="24"/>
          <w:szCs w:val="24"/>
          <w:lang w:eastAsia="zh-CN"/>
        </w:rPr>
        <w:t>：</w:t>
      </w:r>
    </w:p>
    <w:p w14:paraId="4B44AF2F">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施工进度管理应与碳排放控制目标统筹协调，零碳施工措施应与施工工序同步实施、同步管控；</w:t>
      </w:r>
    </w:p>
    <w:p w14:paraId="6DA210E8">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施工单位应根据零碳施工要求编制施工进度计划，明确各阶段碳排放控制指标；</w:t>
      </w:r>
    </w:p>
    <w:p w14:paraId="7DC06A67">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宜采用 BIM 技术开展进度模拟与资源配置优化，调整工序组织，优化施工资源配置；</w:t>
      </w:r>
    </w:p>
    <w:p w14:paraId="5098B3D3">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施工单位应按月统计施工进度与碳排放数据，编制相关文件并报送建设、监理单位备案；</w:t>
      </w:r>
    </w:p>
    <w:p w14:paraId="2D622E66">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施工进度出现偏差时，应通过优化工艺、调配资源进行纠偏；确需赶工的，应制定专项碳排放管控方案，严禁采用高能耗、高排放作业方式赶工。</w:t>
      </w:r>
    </w:p>
    <w:p w14:paraId="18055672">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宋体" w:hAnsi="宋体" w:eastAsia="宋体" w:cs="宋体"/>
          <w:sz w:val="24"/>
          <w:szCs w:val="24"/>
          <w:lang w:val="en-US" w:eastAsia="zh-CN"/>
        </w:rPr>
        <w:t>4.2.2 质量与碳排放协同管理应</w:t>
      </w:r>
      <w:r>
        <w:rPr>
          <w:rFonts w:hint="eastAsia" w:ascii="宋体" w:hAnsi="宋体" w:eastAsia="宋体" w:cs="宋体"/>
          <w:sz w:val="24"/>
          <w:szCs w:val="24"/>
        </w:rPr>
        <w:t>符合下列规定</w:t>
      </w:r>
      <w:r>
        <w:rPr>
          <w:rFonts w:hint="eastAsia" w:ascii="宋体" w:hAnsi="宋体" w:eastAsia="宋体" w:cs="宋体"/>
          <w:sz w:val="24"/>
          <w:szCs w:val="24"/>
          <w:lang w:eastAsia="zh-CN"/>
        </w:rPr>
        <w:t>：</w:t>
      </w:r>
    </w:p>
    <w:p w14:paraId="4573327E">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施工单位应建立零碳施工闭环管控体系，执行《建筑工程施工质量验收统一标准》GB 50300 及现行国家标准，对工程质量与碳减排进行协同管控；</w:t>
      </w:r>
    </w:p>
    <w:p w14:paraId="0B2BFAA8">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应建立零碳建筑质量责任制度，明确各级人员质量职责，围护结构、机电系统、可再生能源系统等施工质量应满足设计及规范要求；</w:t>
      </w:r>
    </w:p>
    <w:p w14:paraId="4DBE8962">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宜采用 BIM 技术开展深化设计与过程质量控制，减少返工与材料浪费；关键工序应执行样板引路、首件验收制度；</w:t>
      </w:r>
    </w:p>
    <w:p w14:paraId="43D7E7C9">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应对影响零碳建筑性能的关键部位进行实体检测，重点管控保温施工、门窗安装、建筑气密性等工序质量；</w:t>
      </w:r>
    </w:p>
    <w:p w14:paraId="74514CB3">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进场材料、构配件与设备应严格检验，按规定送检，合格后方可使用，其环保与零碳性能应符合设计要求。</w:t>
      </w:r>
    </w:p>
    <w:p w14:paraId="1FEA5D67">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宋体" w:hAnsi="宋体" w:eastAsia="宋体" w:cs="宋体"/>
          <w:sz w:val="24"/>
          <w:szCs w:val="24"/>
          <w:lang w:val="en-US" w:eastAsia="zh-CN"/>
        </w:rPr>
        <w:t>4.2.3 安全与碳排放协同管理应</w:t>
      </w:r>
      <w:r>
        <w:rPr>
          <w:rFonts w:hint="eastAsia" w:ascii="宋体" w:hAnsi="宋体" w:eastAsia="宋体" w:cs="宋体"/>
          <w:sz w:val="24"/>
          <w:szCs w:val="24"/>
        </w:rPr>
        <w:t>符合下列规定</w:t>
      </w:r>
      <w:r>
        <w:rPr>
          <w:rFonts w:hint="eastAsia" w:ascii="宋体" w:hAnsi="宋体" w:eastAsia="宋体" w:cs="宋体"/>
          <w:sz w:val="24"/>
          <w:szCs w:val="24"/>
          <w:lang w:eastAsia="zh-CN"/>
        </w:rPr>
        <w:t>：</w:t>
      </w:r>
    </w:p>
    <w:p w14:paraId="5458878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施工安全管理应统筹零碳施工与安全生产要求，将环保管控纳入日常安全管理；</w:t>
      </w:r>
    </w:p>
    <w:p w14:paraId="260A5F64">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应开展零碳施工相关安全风险识别，高风险工序应编制专项施工方案，采用 BIM 模拟、现场监控等措施管控风险；</w:t>
      </w:r>
    </w:p>
    <w:p w14:paraId="69319064">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环保设施、新能源设备及绿色材料，存放和使用应符合现场安全作业防护要求；</w:t>
      </w:r>
    </w:p>
    <w:p w14:paraId="69AC5BD2">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突发安全或环境事件时，应根据应急响应程序启动专项应急预案，应急处置措施应符合零碳管理规定。</w:t>
      </w:r>
    </w:p>
    <w:p w14:paraId="7AA7CC46">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宋体" w:hAnsi="宋体" w:eastAsia="宋体" w:cs="宋体"/>
          <w:sz w:val="24"/>
          <w:szCs w:val="24"/>
          <w:lang w:val="en-US" w:eastAsia="zh-CN"/>
        </w:rPr>
        <w:t>4.2.4 人员与碳排放协同管理应</w:t>
      </w:r>
      <w:r>
        <w:rPr>
          <w:rFonts w:hint="eastAsia" w:ascii="宋体" w:hAnsi="宋体" w:eastAsia="宋体" w:cs="宋体"/>
          <w:sz w:val="24"/>
          <w:szCs w:val="24"/>
        </w:rPr>
        <w:t>符合下列规定</w:t>
      </w:r>
      <w:r>
        <w:rPr>
          <w:rFonts w:hint="eastAsia" w:ascii="宋体" w:hAnsi="宋体" w:eastAsia="宋体" w:cs="宋体"/>
          <w:sz w:val="24"/>
          <w:szCs w:val="24"/>
          <w:lang w:eastAsia="zh-CN"/>
        </w:rPr>
        <w:t>：</w:t>
      </w:r>
    </w:p>
    <w:p w14:paraId="4439FBCF">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施工现场人员应组织开展零碳施工专项培训，内容涵盖安全操作、绿色施工、碳排放管控等相关要求，培训记录应归档留存；</w:t>
      </w:r>
    </w:p>
    <w:p w14:paraId="0797BD80">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施工现场人员零碳施工履职情况应纳入岗位日常管理；</w:t>
      </w:r>
    </w:p>
    <w:p w14:paraId="5FB035DE">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应通过班前安全技术交底、现场公示等形式，明确施工现场人员零碳施工及安全作业履职要求；</w:t>
      </w:r>
    </w:p>
    <w:p w14:paraId="456E0FB2">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施工现场人员配置应适配施工及零碳管控工作要求；施工员应按规定填写施工日志，施工日志需如实记录零碳管理内容。</w:t>
      </w:r>
    </w:p>
    <w:p w14:paraId="6FD6DC48">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宋体" w:hAnsi="宋体" w:eastAsia="宋体" w:cs="宋体"/>
          <w:sz w:val="24"/>
          <w:szCs w:val="24"/>
          <w:lang w:val="en-US" w:eastAsia="zh-CN"/>
        </w:rPr>
        <w:t>4.2.5 设备材料与碳排放协同管理应</w:t>
      </w:r>
      <w:r>
        <w:rPr>
          <w:rFonts w:hint="eastAsia" w:ascii="宋体" w:hAnsi="宋体" w:eastAsia="宋体" w:cs="宋体"/>
          <w:sz w:val="24"/>
          <w:szCs w:val="24"/>
        </w:rPr>
        <w:t>符合下列规定</w:t>
      </w:r>
      <w:r>
        <w:rPr>
          <w:rFonts w:hint="eastAsia" w:ascii="宋体" w:hAnsi="宋体" w:eastAsia="宋体" w:cs="宋体"/>
          <w:sz w:val="24"/>
          <w:szCs w:val="24"/>
          <w:lang w:eastAsia="zh-CN"/>
        </w:rPr>
        <w:t>：</w:t>
      </w:r>
    </w:p>
    <w:p w14:paraId="41618AE7">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施工设备应按需配置，选用节能、电动、氢能等低碳设备；非道路移动机械应符合国四及以上排放标准；</w:t>
      </w:r>
    </w:p>
    <w:p w14:paraId="1C33A078">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应建立施工机械运行管理制度；大型机械宜装设能耗监控装置，具备空载自动停机、负载动态调节功能；</w:t>
      </w:r>
    </w:p>
    <w:p w14:paraId="5002C2F1">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应合理制定物资采购计划，选用绿色建材、再生建材及本地化建材；主体结构采用绿色建材认证产品比例不应低于60%，500km 范围内建材采购占比不宜低于70%；</w:t>
      </w:r>
    </w:p>
    <w:p w14:paraId="52061CDA">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应建立材料进场、使用、回收管理台账，主要建材损耗率控制在定额损耗率范围内；</w:t>
      </w:r>
    </w:p>
    <w:p w14:paraId="0642A200">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宜采用设计优化、节点深化、工厂化预制等技术措施，管控材料耗用及工程废弃物排放。</w:t>
      </w:r>
    </w:p>
    <w:p w14:paraId="080007C3">
      <w:pPr>
        <w:spacing w:before="91" w:line="222" w:lineRule="auto"/>
        <w:jc w:val="center"/>
        <w:outlineLvl w:val="1"/>
        <w:rPr>
          <w:rFonts w:ascii="黑体" w:hAnsi="黑体" w:eastAsia="黑体" w:cs="黑体"/>
          <w:b/>
          <w:bCs/>
          <w:spacing w:val="-5"/>
          <w:sz w:val="24"/>
          <w:szCs w:val="24"/>
        </w:rPr>
      </w:pPr>
      <w:bookmarkStart w:id="24" w:name="_Toc10883"/>
      <w:r>
        <w:rPr>
          <w:rFonts w:ascii="黑体" w:hAnsi="黑体" w:eastAsia="黑体" w:cs="黑体"/>
          <w:b/>
          <w:bCs/>
          <w:spacing w:val="-5"/>
          <w:sz w:val="24"/>
          <w:szCs w:val="24"/>
        </w:rPr>
        <w:t xml:space="preserve">4.3   </w:t>
      </w:r>
      <w:r>
        <w:rPr>
          <w:rFonts w:hint="eastAsia" w:ascii="黑体" w:hAnsi="黑体" w:eastAsia="黑体" w:cs="黑体"/>
          <w:b/>
          <w:bCs/>
          <w:spacing w:val="-5"/>
          <w:sz w:val="24"/>
          <w:szCs w:val="24"/>
        </w:rPr>
        <w:t>施工后期</w:t>
      </w:r>
      <w:r>
        <w:rPr>
          <w:rFonts w:ascii="黑体" w:hAnsi="黑体" w:eastAsia="黑体" w:cs="黑体"/>
          <w:b/>
          <w:bCs/>
          <w:spacing w:val="-5"/>
          <w:sz w:val="24"/>
          <w:szCs w:val="24"/>
        </w:rPr>
        <w:t>管理</w:t>
      </w:r>
      <w:bookmarkEnd w:id="24"/>
    </w:p>
    <w:p w14:paraId="6AF4295C">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宋体" w:hAnsi="宋体" w:eastAsia="宋体" w:cs="宋体"/>
          <w:sz w:val="24"/>
          <w:szCs w:val="24"/>
          <w:lang w:val="en-US" w:eastAsia="zh-CN"/>
        </w:rPr>
        <w:t>4.3.1 废弃物收尾处置应</w:t>
      </w:r>
      <w:r>
        <w:rPr>
          <w:rFonts w:hint="eastAsia" w:ascii="宋体" w:hAnsi="宋体" w:eastAsia="宋体" w:cs="宋体"/>
          <w:sz w:val="24"/>
          <w:szCs w:val="24"/>
        </w:rPr>
        <w:t>符合下列规定</w:t>
      </w:r>
      <w:r>
        <w:rPr>
          <w:rFonts w:hint="eastAsia" w:ascii="宋体" w:hAnsi="宋体" w:eastAsia="宋体" w:cs="宋体"/>
          <w:sz w:val="24"/>
          <w:szCs w:val="24"/>
          <w:lang w:eastAsia="zh-CN"/>
        </w:rPr>
        <w:t>：</w:t>
      </w:r>
    </w:p>
    <w:p w14:paraId="7D84AFFF">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竣工验收阶段应完成施工现场全部工程废弃物分类处置，工程废弃物回收利用率不应低于 60%，实现工完场清。</w:t>
      </w:r>
    </w:p>
    <w:p w14:paraId="5CEFEB27">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临时设施、周转材料、施工设备应有序拆除、退场、回收再利用，拆除过程应落实零碳、环保、安全管控要求。</w:t>
      </w:r>
    </w:p>
    <w:p w14:paraId="770742BF">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宋体" w:hAnsi="宋体" w:eastAsia="宋体" w:cs="宋体"/>
          <w:sz w:val="24"/>
          <w:szCs w:val="24"/>
          <w:lang w:val="en-US" w:eastAsia="zh-CN"/>
        </w:rPr>
        <w:t>4.3.2 碳排放核算与复核应</w:t>
      </w:r>
      <w:r>
        <w:rPr>
          <w:rFonts w:hint="eastAsia" w:ascii="宋体" w:hAnsi="宋体" w:eastAsia="宋体" w:cs="宋体"/>
          <w:sz w:val="24"/>
          <w:szCs w:val="24"/>
        </w:rPr>
        <w:t>符合下列规定</w:t>
      </w:r>
      <w:r>
        <w:rPr>
          <w:rFonts w:hint="eastAsia" w:ascii="宋体" w:hAnsi="宋体" w:eastAsia="宋体" w:cs="宋体"/>
          <w:sz w:val="24"/>
          <w:szCs w:val="24"/>
          <w:lang w:eastAsia="zh-CN"/>
        </w:rPr>
        <w:t>：</w:t>
      </w:r>
    </w:p>
    <w:p w14:paraId="69CF1D79">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竣工验收阶段应完成施工全过程碳排放最终核算，核算范围、方法、因子选取应符合《建筑碳排放计算标准》GB/T 51366 及本标准规定；</w:t>
      </w:r>
    </w:p>
    <w:p w14:paraId="06C2A90F">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施工单位应委托第三方机构对施工阶段碳排放核算结果进行独立核查，核查报告作为竣工验收与零碳建造评估的依据。</w:t>
      </w:r>
    </w:p>
    <w:p w14:paraId="3D08B71C">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宋体" w:hAnsi="宋体" w:eastAsia="宋体" w:cs="宋体"/>
          <w:sz w:val="24"/>
          <w:szCs w:val="24"/>
          <w:lang w:val="en-US" w:eastAsia="zh-CN"/>
        </w:rPr>
        <w:t>4.3.3 竣工验收管控应</w:t>
      </w:r>
      <w:r>
        <w:rPr>
          <w:rFonts w:hint="eastAsia" w:ascii="宋体" w:hAnsi="宋体" w:eastAsia="宋体" w:cs="宋体"/>
          <w:sz w:val="24"/>
          <w:szCs w:val="24"/>
        </w:rPr>
        <w:t>符合下列规定</w:t>
      </w:r>
      <w:r>
        <w:rPr>
          <w:rFonts w:hint="eastAsia" w:ascii="宋体" w:hAnsi="宋体" w:eastAsia="宋体" w:cs="宋体"/>
          <w:sz w:val="24"/>
          <w:szCs w:val="24"/>
          <w:lang w:eastAsia="zh-CN"/>
        </w:rPr>
        <w:t>：</w:t>
      </w:r>
    </w:p>
    <w:p w14:paraId="6266BCEE">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工程竣工验收应同步核查零碳施工实施效果，将碳排放管控、绿色建材应用、建筑垃圾资源化、安全协同等内容纳入竣工验收范围；</w:t>
      </w:r>
    </w:p>
    <w:p w14:paraId="5129BE1D">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竣工验收应采用电动、绿电驱动的检测设备，减少验收环节碳排放，验收流程应符合现行工程竣工验收相关标准规定；</w:t>
      </w:r>
    </w:p>
    <w:p w14:paraId="668DB2C4">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施工单位应提交零碳施工专项验收资料，包括碳排放核算报告、绿色建材使用台账、废弃物资源化证明、能耗计量记录、应急管理总结等文件；</w:t>
      </w:r>
    </w:p>
    <w:p w14:paraId="412B9942">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监理单位应对零碳施工实施情况、碳排放数据、管控成效进行专项复核，出具零碳施工核查意见。</w:t>
      </w:r>
    </w:p>
    <w:p w14:paraId="79078AB5">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宋体" w:hAnsi="宋体" w:eastAsia="宋体" w:cs="宋体"/>
          <w:sz w:val="24"/>
          <w:szCs w:val="24"/>
          <w:lang w:val="en-US" w:eastAsia="zh-CN"/>
        </w:rPr>
        <w:t>4.3.4 整改与闭环管理应</w:t>
      </w:r>
      <w:r>
        <w:rPr>
          <w:rFonts w:hint="eastAsia" w:ascii="宋体" w:hAnsi="宋体" w:eastAsia="宋体" w:cs="宋体"/>
          <w:sz w:val="24"/>
          <w:szCs w:val="24"/>
        </w:rPr>
        <w:t>符合下列规定</w:t>
      </w:r>
      <w:r>
        <w:rPr>
          <w:rFonts w:hint="eastAsia" w:ascii="宋体" w:hAnsi="宋体" w:eastAsia="宋体" w:cs="宋体"/>
          <w:sz w:val="24"/>
          <w:szCs w:val="24"/>
          <w:lang w:eastAsia="zh-CN"/>
        </w:rPr>
        <w:t>：</w:t>
      </w:r>
    </w:p>
    <w:p w14:paraId="58A324A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对竣工验收、碳排放核查中发现的零碳施工问题，施工单位应制定专项整改方案，优先采用零碳、再生材料实施整改，严控整改环节碳排放；</w:t>
      </w:r>
    </w:p>
    <w:p w14:paraId="4A4BB8BF">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整改完成后应组织零碳施工专项复核，复核合格后方可完成竣工验收闭环；复核不合格的，应重新整改直至达标；</w:t>
      </w:r>
    </w:p>
    <w:p w14:paraId="69138FAA">
      <w:pPr>
        <w:pBdr>
          <w:bottom w:val="none" w:color="auto" w:sz="0" w:space="0"/>
        </w:pBd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施工过程中发生安全事故、环境事件的，应将事故处置、碳补偿、整改提升情况纳入竣工资料，形成闭环管理记录。</w:t>
      </w:r>
    </w:p>
    <w:p w14:paraId="61211998">
      <w:pPr>
        <w:pBdr>
          <w:bottom w:val="none" w:color="auto" w:sz="0" w:space="0"/>
        </w:pBdr>
        <w:spacing w:before="184" w:line="313" w:lineRule="auto"/>
        <w:ind w:left="23" w:right="13" w:firstLine="476"/>
        <w:rPr>
          <w:rFonts w:hint="eastAsia" w:ascii="宋体" w:hAnsi="宋体" w:eastAsia="宋体" w:cs="宋体"/>
          <w:sz w:val="24"/>
          <w:szCs w:val="24"/>
        </w:rPr>
      </w:pPr>
      <w:r>
        <w:rPr>
          <w:rFonts w:hint="eastAsia" w:ascii="宋体" w:hAnsi="宋体" w:eastAsia="宋体" w:cs="宋体"/>
          <w:sz w:val="24"/>
          <w:szCs w:val="24"/>
          <w:lang w:val="en-US" w:eastAsia="zh-CN"/>
        </w:rPr>
        <w:t>4.3.5 资料归档与交付应</w:t>
      </w:r>
      <w:r>
        <w:rPr>
          <w:rFonts w:hint="eastAsia" w:ascii="宋体" w:hAnsi="宋体" w:eastAsia="宋体" w:cs="宋体"/>
          <w:sz w:val="24"/>
          <w:szCs w:val="24"/>
        </w:rPr>
        <w:t>符合下列规定</w:t>
      </w:r>
      <w:r>
        <w:rPr>
          <w:rFonts w:hint="eastAsia" w:ascii="宋体" w:hAnsi="宋体" w:eastAsia="宋体" w:cs="宋体"/>
          <w:sz w:val="24"/>
          <w:szCs w:val="24"/>
          <w:lang w:eastAsia="zh-CN"/>
        </w:rPr>
        <w:t>：</w:t>
      </w:r>
    </w:p>
    <w:p w14:paraId="161118D3">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零碳施工全过程资料应规范化归档，包括策划方案、专项方案、计量台账、检测报告、验收记录、核算报告、应急演练记录等，资料应真实、完整、可追溯；</w:t>
      </w:r>
    </w:p>
    <w:p w14:paraId="5F244F6C">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归档资料应采用电子化与纸质化结合形式，电子化资料比例不宜低于 80%，纸质资料应采用环保纸张，归档留存时间不应少于 5 年；</w:t>
      </w:r>
    </w:p>
    <w:p w14:paraId="14DA5776">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施工单位应向建设单位移交零碳施工专项档案，同步纳入工程竣工档案，移交流程应符合城建档案管理相关规定。</w:t>
      </w:r>
    </w:p>
    <w:p w14:paraId="06BD862F">
      <w:pPr>
        <w:spacing w:before="184" w:line="313" w:lineRule="auto"/>
        <w:ind w:left="23" w:right="13" w:firstLine="476"/>
        <w:rPr>
          <w:rFonts w:hint="eastAsia" w:ascii="宋体" w:hAnsi="宋体" w:eastAsia="宋体" w:cs="宋体"/>
          <w:sz w:val="24"/>
          <w:szCs w:val="24"/>
          <w:lang w:val="en-US" w:eastAsia="zh-CN"/>
        </w:rPr>
      </w:pPr>
    </w:p>
    <w:p w14:paraId="5D2D6C1F">
      <w:pPr>
        <w:spacing w:before="97" w:line="220" w:lineRule="auto"/>
        <w:ind w:left="3047"/>
        <w:outlineLvl w:val="0"/>
        <w:rPr>
          <w:rFonts w:hint="eastAsia" w:ascii="宋体" w:hAnsi="宋体" w:eastAsia="宋体" w:cs="宋体"/>
          <w:b/>
          <w:bCs/>
          <w:spacing w:val="-3"/>
          <w:sz w:val="30"/>
          <w:szCs w:val="30"/>
        </w:rPr>
      </w:pPr>
      <w:bookmarkStart w:id="25" w:name="_Toc27411"/>
      <w:r>
        <w:rPr>
          <w:rFonts w:hint="eastAsia" w:ascii="Times New Roman" w:hAnsi="Times New Roman" w:eastAsia="Times New Roman" w:cs="Times New Roman"/>
          <w:b/>
          <w:bCs/>
          <w:spacing w:val="-3"/>
          <w:sz w:val="30"/>
          <w:szCs w:val="30"/>
        </w:rPr>
        <w:t>5</w:t>
      </w:r>
      <w:r>
        <w:rPr>
          <w:rFonts w:ascii="Times New Roman" w:hAnsi="Times New Roman" w:eastAsia="Times New Roman" w:cs="Times New Roman"/>
          <w:b/>
          <w:bCs/>
          <w:spacing w:val="-3"/>
          <w:sz w:val="30"/>
          <w:szCs w:val="30"/>
        </w:rPr>
        <w:t xml:space="preserve">   </w:t>
      </w:r>
      <w:r>
        <w:rPr>
          <w:rFonts w:hint="eastAsia" w:ascii="宋体" w:hAnsi="宋体" w:eastAsia="宋体" w:cs="宋体"/>
          <w:b/>
          <w:bCs/>
          <w:spacing w:val="-3"/>
          <w:sz w:val="30"/>
          <w:szCs w:val="30"/>
        </w:rPr>
        <w:t xml:space="preserve"> 施工技术</w:t>
      </w:r>
      <w:bookmarkEnd w:id="25"/>
    </w:p>
    <w:p w14:paraId="25DB06BC">
      <w:pPr>
        <w:bidi w:val="0"/>
        <w:rPr>
          <w:rFonts w:hint="eastAsia"/>
        </w:rPr>
      </w:pPr>
    </w:p>
    <w:p w14:paraId="3A103070">
      <w:pPr>
        <w:spacing w:before="92" w:line="222" w:lineRule="auto"/>
        <w:jc w:val="center"/>
        <w:outlineLvl w:val="1"/>
        <w:rPr>
          <w:rFonts w:hint="eastAsia" w:ascii="黑体" w:hAnsi="黑体" w:eastAsia="黑体" w:cs="黑体"/>
          <w:b/>
          <w:bCs/>
          <w:spacing w:val="-3"/>
          <w:sz w:val="28"/>
          <w:szCs w:val="28"/>
          <w:lang w:val="en-US" w:eastAsia="zh-CN"/>
        </w:rPr>
      </w:pPr>
      <w:bookmarkStart w:id="26" w:name="_Toc14871"/>
      <w:r>
        <w:rPr>
          <w:rFonts w:ascii="黑体" w:hAnsi="黑体" w:eastAsia="黑体" w:cs="黑体"/>
          <w:b/>
          <w:bCs/>
          <w:spacing w:val="-3"/>
          <w:sz w:val="24"/>
          <w:szCs w:val="24"/>
        </w:rPr>
        <w:t>5.</w:t>
      </w:r>
      <w:r>
        <w:rPr>
          <w:rFonts w:hint="eastAsia" w:ascii="黑体" w:hAnsi="黑体" w:eastAsia="黑体" w:cs="黑体"/>
          <w:b/>
          <w:bCs/>
          <w:spacing w:val="-3"/>
          <w:sz w:val="24"/>
          <w:szCs w:val="24"/>
        </w:rPr>
        <w:t>1</w:t>
      </w:r>
      <w:r>
        <w:rPr>
          <w:rFonts w:hint="eastAsia" w:ascii="黑体" w:hAnsi="黑体" w:eastAsia="黑体" w:cs="黑体"/>
          <w:b/>
          <w:bCs/>
          <w:spacing w:val="-3"/>
          <w:sz w:val="28"/>
          <w:szCs w:val="28"/>
          <w:lang w:val="en-US" w:eastAsia="zh-CN"/>
        </w:rPr>
        <w:t xml:space="preserve"> 一般规定</w:t>
      </w:r>
      <w:bookmarkEnd w:id="26"/>
    </w:p>
    <w:p w14:paraId="7D76BA22">
      <w:pPr>
        <w:pStyle w:val="7"/>
        <w:spacing w:line="461" w:lineRule="auto"/>
      </w:pPr>
    </w:p>
    <w:p w14:paraId="6C5E0B0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5.1.1 建筑施工零碳技术应遵循绿电优先、电动替代、低碳用材、干法装配、资源循环、碳迹可溯的通用原则，施工全过程应降低能耗、物耗与碳排放。</w:t>
      </w:r>
    </w:p>
    <w:p w14:paraId="071031A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5.1.2 施工现场应优先使用绿色电力，施工设备应优先采用电动、氢能等零碳设备，非应急工况严禁使用燃油施工机械与高排放设备。</w:t>
      </w:r>
    </w:p>
    <w:p w14:paraId="1B4DAFC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5.1.3 施工用材应优先选用再生材料、绿色建材、本地建材，推行材料精准下料、周转复用，降低材料损耗与隐含碳排放。</w:t>
      </w:r>
    </w:p>
    <w:p w14:paraId="0937EF80">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5.1.4 施工工艺应优先采用干法作业、一次成型的施工方式，减少现场湿作业、切割打磨及返工修补行为，节约资源消耗。</w:t>
      </w:r>
    </w:p>
    <w:p w14:paraId="6832CEB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5.1.5 施工宜采用 BIM 技术、智慧监测等数字化手段，统筹施工模拟、方案优化与全过程能耗动态管控，提升零碳施工管理水平。</w:t>
      </w:r>
    </w:p>
    <w:p w14:paraId="37F4801E">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5.1.6 建筑各类管线、构配件及支吊架宜采用工厂标准化预制加工，现场实行装配化就位安装，严控现场二次加工作业。</w:t>
      </w:r>
    </w:p>
    <w:p w14:paraId="0256F71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5.1.7 工程所用支吊架应采用成品预制件组合安装，现场不得随意裁切、焊接改制。</w:t>
      </w:r>
    </w:p>
    <w:p w14:paraId="3DBB4A04">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5.1.8 各类管线及构配件安装前应完成综合排布优化，施工应一次安装成型，严禁因排布冲突拆改重装。</w:t>
      </w:r>
    </w:p>
    <w:p w14:paraId="1639DB7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5.1.9 管线穿墙、穿楼板及各类预留孔洞应与结构施工同步预埋成型，严禁后期剔凿结构构件开孔。</w:t>
      </w:r>
    </w:p>
    <w:p w14:paraId="61D6B59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5.1.10 施工节点构造应采取断热、气密、保温一体化施工技术，降低建筑全生命周期能耗与碳排放。</w:t>
      </w:r>
    </w:p>
    <w:p w14:paraId="60BC7E8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5.1.11 施工应推行资源循环利用，优先采用土石方平衡、永临结合、雨水和中水回用、再生骨料利用等技术，减少原生资源消耗。</w:t>
      </w:r>
    </w:p>
    <w:p w14:paraId="453E3B9F">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5.1.12 施工废弃物应分类收集，就地资源化利用，严控建筑垃圾外运与填埋，提高废弃物回收利用率。</w:t>
      </w:r>
    </w:p>
    <w:p w14:paraId="02224F6E">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5.1.13 施工全过程碳排放应按现行标准核算，覆盖能源消耗、材料损耗、废弃物处置等全口径，数据应真实、完整、可追溯。</w:t>
      </w:r>
    </w:p>
    <w:p w14:paraId="2AEDA1CA">
      <w:pPr>
        <w:spacing w:before="184" w:line="313" w:lineRule="auto"/>
        <w:ind w:left="23" w:right="13" w:firstLine="476"/>
        <w:rPr>
          <w:rFonts w:hint="eastAsia" w:ascii="宋体" w:hAnsi="宋体" w:eastAsia="宋体" w:cs="宋体"/>
          <w:color w:val="000000"/>
          <w:sz w:val="24"/>
          <w:szCs w:val="24"/>
          <w:lang w:val="en-US" w:eastAsia="zh-CN"/>
        </w:rPr>
      </w:pPr>
    </w:p>
    <w:p w14:paraId="5D1AF975">
      <w:pPr>
        <w:spacing w:before="92" w:line="222" w:lineRule="auto"/>
        <w:jc w:val="center"/>
        <w:outlineLvl w:val="1"/>
        <w:rPr>
          <w:rFonts w:ascii="黑体" w:hAnsi="黑体" w:eastAsia="黑体" w:cs="黑体"/>
          <w:b/>
          <w:bCs/>
          <w:spacing w:val="-3"/>
          <w:sz w:val="24"/>
          <w:szCs w:val="24"/>
        </w:rPr>
      </w:pPr>
      <w:bookmarkStart w:id="27" w:name="_Toc5281"/>
      <w:r>
        <w:rPr>
          <w:rFonts w:ascii="黑体" w:hAnsi="黑体" w:eastAsia="黑体" w:cs="黑体"/>
          <w:b/>
          <w:bCs/>
          <w:spacing w:val="-3"/>
          <w:sz w:val="24"/>
          <w:szCs w:val="24"/>
        </w:rPr>
        <w:t>5.2 施工准备与临时工程</w:t>
      </w:r>
      <w:bookmarkEnd w:id="27"/>
    </w:p>
    <w:p w14:paraId="21AD329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5.2.1 施工总平面场地平整及土石方作业，应采用场内土石方自平衡施工工艺，优化场内转运路线；应规划环形场内运输路线，减少车辆折返空载，降低土方外运及外购回填土方量。</w:t>
      </w:r>
    </w:p>
    <w:p w14:paraId="02F7177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5.2.2 具备施工条件的区域宜采用永临结合施工工艺，提前施工正式道路、围墙、排水管网、照明系统及各类管网设施，用以替代同功能临时工程构造，减少重复搭设与拆除。</w:t>
      </w:r>
    </w:p>
    <w:p w14:paraId="041BD85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5.2.3 临时道路、材料堆场垫层宜采用建筑固废再生骨料摊铺、分层压实；路面及堆场硬化不宜采用整体现浇混凝土，应优先采用预制铺装板、钢制路基板等可周转构件铺设；材料堆场、加工区应紧邻作业面与垂直运输设备布置，缩短场内运输距离，减少二次搬运。</w:t>
      </w:r>
    </w:p>
    <w:p w14:paraId="76CC23B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5.2.4 施工围挡应采用标准化、定型化装配式构件现场拼装；不应采用烧结砖砌筑、现浇混凝土等一次性永久构造形式。</w:t>
      </w:r>
    </w:p>
    <w:p w14:paraId="25FC830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5.2.5 临时办公、生活用房及库房应集中连片布置，采用模块化装配式箱体结构螺栓装配施工，不应采用现场砌筑、现浇混凝土等湿作业搭建方式；临时设施均应选用可周转构件，减少临时耗材与能源消耗。</w:t>
      </w:r>
    </w:p>
    <w:p w14:paraId="18AE072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5.2.6 钢筋、模板加工棚应采用装配式钢结构搭设，宜采用自然采光屋面构造，降低常态照明能耗；加工棚应与材料堆场、作业面统筹布局，缩短物料转运路径。</w:t>
      </w:r>
    </w:p>
    <w:p w14:paraId="6D9CC8AB">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5.2.7 临边、洞口、通道等处临时防护设施，应采用工具式、定型化装配式构件安装就位，减少一次性木质非标耗材使用。</w:t>
      </w:r>
    </w:p>
    <w:p w14:paraId="4F8490A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5.2.8 临时配电系统应结合负荷中心优化路径布设，靠近用电集中区域布置；合理配置施工现场分布式光伏、储能等可再生能源设施，实现绿电就近生产、就近使用，合理控制配电线路敷设长度，降低线路电能损耗。</w:t>
      </w:r>
    </w:p>
    <w:p w14:paraId="63999B8C">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5.2.9 施工现场应配套建设雨水收集、沉淀回用设施，同步合理布置建筑垃圾就地处置点；收集雨水优先用于结构养护、场地降尘等施工用水，建筑碎料、弃土就地破碎筛分加工，再生集料优先用于场内回填、临时垫层填筑，实现废弃物就近资源化利用。</w:t>
      </w:r>
    </w:p>
    <w:p w14:paraId="4D631D0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5.2.10 临时工程施工阶段应统筹布置碳排放监测与计量点位，覆盖临时用电、大型机械、材料消耗等关键环节，满足施工阶段碳排放实时采集、分项核算要求。</w:t>
      </w:r>
    </w:p>
    <w:p w14:paraId="2F7A8D3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5.2.11 临时工程施工产生的各类废弃物应分类归集，除就地资源化利用外，其余不可再生废弃物应规范处置，减少外运处置量。</w:t>
      </w:r>
    </w:p>
    <w:p w14:paraId="6A3D6D17">
      <w:pPr>
        <w:spacing w:line="219" w:lineRule="auto"/>
        <w:rPr>
          <w:rFonts w:ascii="宋体" w:hAnsi="宋体" w:eastAsia="宋体" w:cs="宋体"/>
          <w:sz w:val="24"/>
          <w:szCs w:val="24"/>
        </w:rPr>
      </w:pPr>
    </w:p>
    <w:p w14:paraId="10F7E588">
      <w:pPr>
        <w:spacing w:before="92" w:line="222" w:lineRule="auto"/>
        <w:jc w:val="center"/>
        <w:outlineLvl w:val="1"/>
        <w:rPr>
          <w:rFonts w:hint="eastAsia" w:ascii="黑体" w:hAnsi="黑体" w:eastAsia="黑体" w:cs="黑体"/>
          <w:b/>
          <w:bCs/>
          <w:spacing w:val="-3"/>
          <w:sz w:val="28"/>
          <w:szCs w:val="28"/>
          <w:lang w:val="en-US" w:eastAsia="zh-CN"/>
        </w:rPr>
      </w:pPr>
      <w:bookmarkStart w:id="28" w:name="_Toc300"/>
      <w:r>
        <w:rPr>
          <w:rFonts w:hint="eastAsia" w:ascii="黑体" w:hAnsi="黑体" w:eastAsia="黑体" w:cs="黑体"/>
          <w:b/>
          <w:bCs/>
          <w:spacing w:val="-3"/>
          <w:sz w:val="24"/>
          <w:szCs w:val="24"/>
        </w:rPr>
        <w:t>5.3</w:t>
      </w:r>
      <w:r>
        <w:rPr>
          <w:rFonts w:hint="eastAsia" w:ascii="黑体" w:hAnsi="黑体" w:eastAsia="黑体" w:cs="黑体"/>
          <w:b/>
          <w:bCs/>
          <w:spacing w:val="-3"/>
          <w:sz w:val="28"/>
          <w:szCs w:val="28"/>
          <w:lang w:val="en-US" w:eastAsia="zh-CN"/>
        </w:rPr>
        <w:t xml:space="preserve"> 地基与基础工程</w:t>
      </w:r>
      <w:bookmarkEnd w:id="28"/>
    </w:p>
    <w:p w14:paraId="56ABDB1F">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5.3.1 土方工程应优化机械配置与作业组织，降低施工能耗与尾气排放：</w:t>
      </w:r>
    </w:p>
    <w:p w14:paraId="5642B40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土方开挖、场内转运优先选用电动、氢能等新能源施工机械；</w:t>
      </w:r>
    </w:p>
    <w:p w14:paraId="20DA03A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场内土方运输宜采用新能源车辆，燃油车辆应优化行驶路线，减少空载及怠速运行时长；</w:t>
      </w:r>
    </w:p>
    <w:p w14:paraId="5E08E6B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基坑开挖结合地层条件采用原槽成型、原位护坡工艺，严格控制超挖量，减少后续回填作业工程量；</w:t>
      </w:r>
    </w:p>
    <w:p w14:paraId="69874FCB">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施工现场弃土、堆土应集中规整堆放，采取密闭、喷淋抑尘措施，优先就地平衡利用，减少土方外运；</w:t>
      </w:r>
    </w:p>
    <w:p w14:paraId="5CF8BC71">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沟槽开挖应采用分段流水施工，优化开挖坡度与作业时序，减少土体扰动与重复作业。</w:t>
      </w:r>
    </w:p>
    <w:p w14:paraId="141A6F4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5.3.2 基坑支护应按设计既定结构体系组织施工，采用低能耗、可周转施工工法：</w:t>
      </w:r>
    </w:p>
    <w:p w14:paraId="0776B1F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设计采用装配式钢支撑时，施工应采用标准化装配、无损拆除工艺；</w:t>
      </w:r>
    </w:p>
    <w:p w14:paraId="2AF304B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设计采用锚索支护时，宜采用可回收锚索施工工艺；现场不宜额外增设一次性现浇混凝土角撑，确需按设计实施时，应开展碳排放专项论证；</w:t>
      </w:r>
    </w:p>
    <w:p w14:paraId="367F8E4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止水帷幕、地基处理采用水泥土桩施工时，宜掺入粉煤灰、矿渣微粉等工业固废替代部分水泥，替代比例应经现场工艺试验确定；</w:t>
      </w:r>
    </w:p>
    <w:p w14:paraId="57DCDC9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喷射混凝土作业应采用电动湿喷设备施工，作业产生的回弹物料应就地收集、资源化利用；</w:t>
      </w:r>
    </w:p>
    <w:p w14:paraId="7F2E91A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设计采用地下连续墙、钻孔排桩支护时，应选用电动成槽、电动钻孔设备，优化泥浆循环利用工艺，控制废浆排放量；</w:t>
      </w:r>
    </w:p>
    <w:p w14:paraId="51BC24A1">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边坡防护宜采用生态护坡、锚杆框架护坡等绿色施工工艺，减少现浇混凝土一次性构造用量。</w:t>
      </w:r>
    </w:p>
    <w:p w14:paraId="4664DE90">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5.3.3 地基处理应按设计选用工法实施，采用节能降耗、资源化施工工艺：</w:t>
      </w:r>
    </w:p>
    <w:p w14:paraId="415FAFD2">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强夯地基应合理规划夯点作业顺序，优化机械行走路线，减少设备空载往返行驶；</w:t>
      </w:r>
    </w:p>
    <w:p w14:paraId="7856F96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CFG 桩、灰土挤密桩等复合地基，宜采用电动成孔、连续泵送施工，减少工序间断产生的能耗损耗；</w:t>
      </w:r>
    </w:p>
    <w:p w14:paraId="49336E7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振冲碎石桩、砂石换填垫层施工，宜优先采用建筑固废再生集料替代天然砂石原材料；</w:t>
      </w:r>
    </w:p>
    <w:p w14:paraId="0D2583D1">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灰土垫层、级配砂石垫层应采用机械分层摊铺、电动压实设备作业，严控分层厚度与压实遍数，降低重复压实能耗。</w:t>
      </w:r>
    </w:p>
    <w:p w14:paraId="4F3FF2CB">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5.3.4 桩基础施工宜采用低排放、低扰动成桩工法，减少现场湿作业与能源消耗：</w:t>
      </w:r>
    </w:p>
    <w:p w14:paraId="14B3059F">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按设计桩型组织施工，预制混凝土桩、钢桩施工应优化吊装、沉桩工序，控制机械待机能耗；</w:t>
      </w:r>
    </w:p>
    <w:p w14:paraId="2B00855F">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静压桩施工优先采用静音静压专用设备，降低施工振动与能源消耗；</w:t>
      </w:r>
    </w:p>
    <w:p w14:paraId="1A0C585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灌注桩施工优先选用长螺旋钻孔压灌等干作业成孔工艺；采用泥浆护壁、冲孔灌注桩工艺时，应配套泥浆循环净化系统，废弃泥浆应采取脱水固化无害化处置；</w:t>
      </w:r>
    </w:p>
    <w:p w14:paraId="5631BE3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具备条件时宜采用桩基后注浆施工工艺，优化浆液配合比，节约建材用量与施工用水；</w:t>
      </w:r>
    </w:p>
    <w:p w14:paraId="59080B9F">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桩头整形处理应采用机械切割、绳锯切割工艺，严禁采用风镐大面积破碎凿除。</w:t>
      </w:r>
    </w:p>
    <w:p w14:paraId="0D4C760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5.3.5 地下水控制应采取节能、节水措施，做好水资源循环回用与地下水环境保护。</w:t>
      </w:r>
    </w:p>
    <w:p w14:paraId="34017A2C">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降水施工方案应经水文计算优化，严控降水深度与抽排流量，严禁超深、超量抽取地下水；</w:t>
      </w:r>
    </w:p>
    <w:p w14:paraId="6D188D1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降水井泵宜选用变频调控设备，可依据地下水位变化自动调节运行工况；</w:t>
      </w:r>
    </w:p>
    <w:p w14:paraId="5D897EB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抽排地下水经沉淀处理后，优先用于场地降尘、车辆冲洗、混凝土养护等施工用水；</w:t>
      </w:r>
    </w:p>
    <w:p w14:paraId="08CD05A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深基坑工程按设计设置回灌井、截水帷幕时，应同步精细化组织施工，平衡区域地下水环境，减少水资源无序流失。</w:t>
      </w:r>
    </w:p>
    <w:p w14:paraId="0B92BCBC">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5.3.6 基础结构施工应优化工序流水组织，严控材料损耗与施工能耗。</w:t>
      </w:r>
    </w:p>
    <w:p w14:paraId="6FAF89F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基础钢筋采用数字化翻样、集中统一加工，钢筋下脚料应分类归集、回收再利用；</w:t>
      </w:r>
    </w:p>
    <w:p w14:paraId="592ED34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模板及支撑体系应选用高周转标准化构件，合理统筹周转频次；</w:t>
      </w:r>
    </w:p>
    <w:p w14:paraId="3B8595A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混凝土浇筑应采用电动振捣设备，优化布料顺序与作业面排布，减少设备空载待机时间；</w:t>
      </w:r>
    </w:p>
    <w:p w14:paraId="7FCD0A9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大体积混凝土施工应开展温控测算，采用保温保湿养护措施，有效控制温差裂缝，规避裂缝修补产生的额外资源消耗与碳排放；</w:t>
      </w:r>
    </w:p>
    <w:p w14:paraId="2AB3DED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基础后浇带采用一次性成型、节水保湿养护工艺，避免后期剔凿修补作业；</w:t>
      </w:r>
    </w:p>
    <w:p w14:paraId="21322381">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基础防水工程宜采用冷粘、自粘等冷作业施工工艺，减少热熔施工产生的碳排放与烟气污染；</w:t>
      </w:r>
    </w:p>
    <w:p w14:paraId="301F36D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 基础施工产生的建筑废弃物应就地分类收集，混凝土碎块、砖石弃料可用于场内临时道路填筑、垫层回填。</w:t>
      </w:r>
    </w:p>
    <w:p w14:paraId="09F7A4EB">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5.3.7 基坑及沟槽回填应采用分层施工工艺，优先推广资源化材料利用：</w:t>
      </w:r>
    </w:p>
    <w:p w14:paraId="7EF9FB52">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基坑、沟槽回填优先利用场内合格开挖弃土，也可采用建筑固废再生集料作为回填材料。</w:t>
      </w:r>
    </w:p>
    <w:p w14:paraId="74811C1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灰土回填、级配砂石回填应采用机械分层摊铺、电动压实设备作业，严控分层厚度，减少反复压实作业能耗。</w:t>
      </w:r>
    </w:p>
    <w:p w14:paraId="467CFD5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5.3.8 基础垫层及防水保护层宜采用资源化、低能耗施工工艺：</w:t>
      </w:r>
    </w:p>
    <w:p w14:paraId="7030C012">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优先采用预制混凝土板、薄型金属板材替代现浇混凝土施工，预制板材拼缝位置应做好密封防水处理；</w:t>
      </w:r>
    </w:p>
    <w:p w14:paraId="7D523B1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采用现浇垫层施工时，宜掺加建筑固废再生骨料作为填筑集料；</w:t>
      </w:r>
    </w:p>
    <w:p w14:paraId="479619D0">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市政管网基础垫层宜采用再生砂石集料，推行工厂预制、现场装配化施工。</w:t>
      </w:r>
    </w:p>
    <w:p w14:paraId="5BB7AAE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5.3.9 基坑施工监测应低碳统筹布设，适配绿色施工要求：</w:t>
      </w:r>
    </w:p>
    <w:p w14:paraId="393CF89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基坑支护、边坡及周边建构筑物监测点位应统筹优化布置，减少管线、辅材耗材用量；</w:t>
      </w:r>
    </w:p>
    <w:p w14:paraId="5EE6C98B">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监测设备优先选用低功耗、智能化装置，宜依托施工现场绿色电力供电，降低长期运维能耗。</w:t>
      </w:r>
    </w:p>
    <w:p w14:paraId="096CA038">
      <w:pPr>
        <w:bidi w:val="0"/>
        <w:rPr>
          <w:rFonts w:hint="eastAsia"/>
          <w:lang w:val="en-US" w:eastAsia="zh-CN"/>
        </w:rPr>
      </w:pPr>
    </w:p>
    <w:p w14:paraId="5C142D37">
      <w:pPr>
        <w:spacing w:before="92" w:line="222" w:lineRule="auto"/>
        <w:jc w:val="center"/>
        <w:outlineLvl w:val="1"/>
        <w:rPr>
          <w:rFonts w:ascii="黑体" w:hAnsi="黑体" w:eastAsia="黑体" w:cs="黑体"/>
          <w:b/>
          <w:bCs/>
          <w:spacing w:val="-3"/>
          <w:sz w:val="24"/>
          <w:szCs w:val="24"/>
        </w:rPr>
      </w:pPr>
      <w:bookmarkStart w:id="29" w:name="_Toc3653"/>
      <w:r>
        <w:rPr>
          <w:rFonts w:ascii="黑体" w:hAnsi="黑体" w:eastAsia="黑体" w:cs="黑体"/>
          <w:b/>
          <w:bCs/>
          <w:spacing w:val="-3"/>
          <w:sz w:val="24"/>
          <w:szCs w:val="24"/>
        </w:rPr>
        <w:t>5.4 主体结构工程</w:t>
      </w:r>
      <w:bookmarkEnd w:id="29"/>
    </w:p>
    <w:p w14:paraId="6C256A6C">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5.4.1 混凝土结构施工</w:t>
      </w:r>
    </w:p>
    <w:p w14:paraId="53135E1C">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钢筋工程宜采用数字化翻样、工厂集中加工工艺，优化下料排版，减少边角废料产生；钢筋余料应分类归集，优先用于构造配筋或辅助构件加工，提高材料利用率。</w:t>
      </w:r>
    </w:p>
    <w:p w14:paraId="3C76201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模板及支撑体系优先采用高周转标准化构件，推广铝合金模板、塑料模板等长效周转体系；竖向支撑采用盘扣式钢管支架，水平结构宜采用早拆支撑工艺，减少一次性模板耗材投入。</w:t>
      </w:r>
    </w:p>
    <w:p w14:paraId="3DC7771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混凝土浇筑应采用电动高频振捣设备，优化布料顺序与浇筑流水段划分，减少设备空载待机能耗；大跨度楼盖、屋盖宜采用自密实混凝土，简化施工工序并降低振捣能耗。</w:t>
      </w:r>
    </w:p>
    <w:p w14:paraId="0ABD46C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混凝土养护宜采用节水保湿工艺，优先利用基坑降水、收集雨水作为养护用水；养护覆盖材料选用可周转保温保湿被，替代一次性养护材料，减少资源浪费。</w:t>
      </w:r>
    </w:p>
    <w:p w14:paraId="2A22C91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大体积混凝土应采用信息化温控监测工艺，通过精准控温避免温差裂缝，规避后期剔凿修补产生的额外碳排放；冬期养护严禁采用燃煤热源，宜采用电伴热、热泵等低碳供热方式。</w:t>
      </w:r>
    </w:p>
    <w:p w14:paraId="4369808C">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后浇带施工采用一次性成型工艺，优化节点处理减少后期修补；通过施工工艺管控减少结构返工，降低重复施工碳排放。</w:t>
      </w:r>
    </w:p>
    <w:p w14:paraId="01D19CE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 混凝土施工废渣应就地分类收集、破碎筛分，再生集料优先用于场内回填、临时垫层填筑，提高固废就地资源化利用率。</w:t>
      </w:r>
    </w:p>
    <w:p w14:paraId="00075344">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 预应力施工宜选用低能耗张拉设备，优化张拉作业时序；预应力筋采用集中下料加工，余料统一回收利用，减少材料损耗。</w:t>
      </w:r>
    </w:p>
    <w:p w14:paraId="5E04DC4D">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r>
        <w:rPr>
          <w:rFonts w:hint="eastAsia" w:ascii="宋体" w:hAnsi="宋体" w:eastAsia="宋体" w:cs="宋体"/>
          <w:sz w:val="24"/>
          <w:szCs w:val="24"/>
          <w:lang w:val="en-US" w:eastAsia="zh-CN"/>
        </w:rPr>
        <w:t>4</w:t>
      </w:r>
      <w:r>
        <w:rPr>
          <w:rFonts w:hint="eastAsia" w:ascii="宋体" w:hAnsi="宋体" w:eastAsia="宋体" w:cs="宋体"/>
          <w:color w:val="000000"/>
          <w:sz w:val="24"/>
          <w:szCs w:val="24"/>
          <w:lang w:val="en-US" w:eastAsia="zh-CN"/>
        </w:rPr>
        <w:t>.2 钢结构施工</w:t>
      </w:r>
    </w:p>
    <w:p w14:paraId="24ED9743">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钢构件现场安装应按装配化工序作业，严控现场切割、开孔、裁板等二次加工作业。</w:t>
      </w:r>
    </w:p>
    <w:p w14:paraId="11E1F651">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钢结构构件堆场应分区规整布置，就近堆放减少二次倒运；构件堆放应采用标准化可周转垫枕及支撑工装；场内转运、现场吊装宜选用新能源运输车辆及电动起重机械，合理规划吊装顺序与作业站位。</w:t>
      </w:r>
    </w:p>
    <w:p w14:paraId="1335A50C">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钢结构高空安装宜采用装配式集成操作平台、工具式挂架，替代传统满堂脚手架搭设。</w:t>
      </w:r>
    </w:p>
    <w:p w14:paraId="3ED5AE52">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钢结构现场连接优先采用高强螺栓装配工艺；确需现场焊接时，应选用节能焊接设备，采用固定工位集中施焊，并配套烟气收集处理设施；连接件安装宜采用专用机械化工装作业。</w:t>
      </w:r>
    </w:p>
    <w:p w14:paraId="7A34C534">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钢结构表面的防腐、防火涂装以工厂涂装为主，施工现场仅对拼接及破损部位进行局部修补；现场涂装应选用低挥发性环保涂料，采用节能喷涂设备施工。</w:t>
      </w:r>
    </w:p>
    <w:p w14:paraId="2A47EEF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钢结构临时加固、支撑及定位限位构件，宜采用标准化定型工装，施工完成后无损拆除、保养复用；钢材边角余料、包装构件等废弃物应分类收集，可周转物料修复后复用，其余废料集中归集处置。</w:t>
      </w:r>
    </w:p>
    <w:p w14:paraId="5B56986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 楼承板、钢结构屋面及墙体围护构件，宜采用工厂预制、现场干式装配施工。</w:t>
      </w:r>
    </w:p>
    <w:p w14:paraId="5085B572">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 冬期、雨期钢结构施工应合理排布作业时序；大型及异形钢结构安装应匹配起重机械规格，有序组织吊装作业。</w:t>
      </w:r>
    </w:p>
    <w:p w14:paraId="55D315B4">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5.4.3 砌体结构施工</w:t>
      </w:r>
    </w:p>
    <w:p w14:paraId="43E1DB6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砌体施工应按设计文件及现行规范选用墙体材料，施工现场严禁擅自使用实心黏土砖及国家明令淘汰的墙体材料；砌体材料进场后就近分区堆放，减少场内二次倒运。</w:t>
      </w:r>
    </w:p>
    <w:p w14:paraId="7C2A5D7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砌体砌筑前应排布砌块模数，同步统筹构造柱马牙槎、预留洞口等砌块模数；机电管线应随砌体同步预留预埋，严禁墙体成型后大面积剔凿开槽。</w:t>
      </w:r>
    </w:p>
    <w:p w14:paraId="68E9058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砌筑砂浆应采用预拌干混砂浆或湿拌砂浆，严禁施工现场拌合；宜采用薄层砌筑工艺，按现行规范控制灰缝厚度。</w:t>
      </w:r>
    </w:p>
    <w:p w14:paraId="6DCC19D1">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砌体裁切加工宜采用电动节能机具作业；梁底、板底砌体顶缝推广采用定型化封堵工艺施工。</w:t>
      </w:r>
    </w:p>
    <w:p w14:paraId="40A4F56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构造柱、过梁、窗台压顶等二次结构构件，宜采用工厂预制构件现场装配安装。</w:t>
      </w:r>
    </w:p>
    <w:p w14:paraId="274F755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砌体材料场内水平运输宜采用电动搬运设备。</w:t>
      </w:r>
    </w:p>
    <w:p w14:paraId="3F2A4654">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 砌体碎块、砂浆余料应分类收集，回收利用。</w:t>
      </w:r>
    </w:p>
    <w:p w14:paraId="55EC0327">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5.4.4 装配式结构施工</w:t>
      </w:r>
    </w:p>
    <w:p w14:paraId="78D9A31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预制构件深化设计应与机电管线预留预埋同步，避免现场剔凿与二次浇筑。</w:t>
      </w:r>
    </w:p>
    <w:p w14:paraId="5C2EF59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构件运输应合理规划配载方案，提高单车装载率；场内水平与垂直运输宜采用新能源机械。</w:t>
      </w:r>
    </w:p>
    <w:p w14:paraId="68EA380B">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灌浆作业宜采用电动注浆机，实施压力数字化监控，确保一次成型合格率，避免返工碳排放。</w:t>
      </w:r>
    </w:p>
    <w:p w14:paraId="3A1664FB">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防水节点应采用耐久性好、低挥发性的密封材料及构造，确保一次成型防渗漏。</w:t>
      </w:r>
    </w:p>
    <w:p w14:paraId="0AA6EFE0">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临时支撑与定位工装宜采用高周转体系，拆除后修复复用；构件包装物及灌浆余料应集中回收利用。</w:t>
      </w:r>
    </w:p>
    <w:p w14:paraId="4822BAF1">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5.4.5 脚手架及垂直运输设施</w:t>
      </w:r>
    </w:p>
    <w:p w14:paraId="65C9916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建筑外脚手架宜采用附着式升降脚手架、工具式爬架。</w:t>
      </w:r>
    </w:p>
    <w:p w14:paraId="0B077EE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塔式起重机、施工电梯宜选用节能变频机型，实行集中错峰吊运作业。</w:t>
      </w:r>
    </w:p>
    <w:p w14:paraId="011CFCF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高大模板支撑体系应采用工具式、装配式标准模数构件。</w:t>
      </w:r>
    </w:p>
    <w:p w14:paraId="6CED002E">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脚手架及模板支撑构配件严禁现场随意切割、改制加工。</w:t>
      </w:r>
    </w:p>
    <w:p w14:paraId="2475BEFB">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周转杆件及构配件采用定型化堆放架规整安置。</w:t>
      </w:r>
    </w:p>
    <w:p w14:paraId="6BC26E27">
      <w:pPr>
        <w:spacing w:line="219" w:lineRule="auto"/>
        <w:rPr>
          <w:rFonts w:ascii="宋体" w:hAnsi="宋体" w:eastAsia="宋体" w:cs="宋体"/>
          <w:sz w:val="24"/>
          <w:szCs w:val="24"/>
        </w:rPr>
      </w:pPr>
    </w:p>
    <w:p w14:paraId="3F64DA8F">
      <w:pPr>
        <w:spacing w:before="92" w:line="222" w:lineRule="auto"/>
        <w:jc w:val="center"/>
        <w:outlineLvl w:val="1"/>
        <w:rPr>
          <w:rFonts w:hint="eastAsia" w:ascii="黑体" w:hAnsi="黑体" w:eastAsia="黑体" w:cs="黑体"/>
          <w:b/>
          <w:bCs/>
          <w:spacing w:val="-3"/>
          <w:sz w:val="28"/>
          <w:szCs w:val="28"/>
          <w:lang w:val="en-US" w:eastAsia="zh-CN"/>
        </w:rPr>
      </w:pPr>
      <w:bookmarkStart w:id="30" w:name="_Toc22850"/>
      <w:r>
        <w:rPr>
          <w:rFonts w:hint="eastAsia" w:ascii="黑体" w:hAnsi="黑体" w:eastAsia="黑体" w:cs="黑体"/>
          <w:b/>
          <w:bCs/>
          <w:spacing w:val="-3"/>
          <w:sz w:val="24"/>
          <w:szCs w:val="24"/>
          <w:lang w:eastAsia="zh-CN"/>
        </w:rPr>
        <w:t>5.5</w:t>
      </w:r>
      <w:r>
        <w:rPr>
          <w:rFonts w:ascii="黑体" w:hAnsi="黑体" w:eastAsia="黑体" w:cs="黑体"/>
          <w:spacing w:val="104"/>
          <w:sz w:val="24"/>
          <w:szCs w:val="24"/>
        </w:rPr>
        <w:t xml:space="preserve"> </w:t>
      </w:r>
      <w:r>
        <w:rPr>
          <w:rFonts w:hint="eastAsia" w:ascii="黑体" w:hAnsi="黑体" w:eastAsia="黑体" w:cs="黑体"/>
          <w:b/>
          <w:bCs/>
          <w:spacing w:val="-3"/>
          <w:sz w:val="28"/>
          <w:szCs w:val="28"/>
          <w:lang w:val="en-US" w:eastAsia="zh-CN"/>
        </w:rPr>
        <w:t>围护结构工程</w:t>
      </w:r>
      <w:bookmarkEnd w:id="30"/>
    </w:p>
    <w:p w14:paraId="6BAEFDC7">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5.5.1 外墙围护工程</w:t>
      </w:r>
    </w:p>
    <w:p w14:paraId="557AB6D2">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基层清理宜采用电动无尘专用设备作业；基层修补采用薄层快修施工工艺，修补废料集中归集处置。</w:t>
      </w:r>
    </w:p>
    <w:p w14:paraId="226015BF">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保温板材采用工厂集中加工、现场装配施工；板缝拼接采用密封带干法封缝工艺，严禁随意采用砂浆湿作业封缝。</w:t>
      </w:r>
    </w:p>
    <w:p w14:paraId="217D7C2C">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保温板粘结、锚固施工采用电动机具作业；保温边角料分类收集，闲置余料合理利用，废弃物料统一资源化处置。</w:t>
      </w:r>
    </w:p>
    <w:p w14:paraId="55A41E4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抹面层施工采用电动薄抹或喷涂设备；网格布整幅通长铺设，集中统一裁剪；养护采用节水保湿覆膜工艺，施工养护用水利用雨水或再生水源。</w:t>
      </w:r>
    </w:p>
    <w:p w14:paraId="2FF890D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气密隔汽膜整卷连续铺设，阴阳角采用预制气密构件干法装配；穿墙管件、预埋节点采用一体化密封工装成型，严禁后期二次封堵修补；施工废料集中收集专业处置。</w:t>
      </w:r>
    </w:p>
    <w:p w14:paraId="2058E18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外墙饰面采用电动无气喷涂或干法挂装工艺，施工现场严禁明火烘烤；饰面构件采用工厂预制、现场装配施工。</w:t>
      </w:r>
    </w:p>
    <w:p w14:paraId="332FB4D1">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 热桥节点采用定型化保温包覆工装装配施工；梁柱及穿墙部位保温与主体结构同步施工；固定配件采用断热型锚栓构件。</w:t>
      </w:r>
    </w:p>
    <w:p w14:paraId="263C2C0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 临时外墙及施工围挡采用定型化、模块化可周转构件；拆除作业采用电动无损拆解机具，围挡密封配件可拆卸重复使用。</w:t>
      </w:r>
    </w:p>
    <w:p w14:paraId="7B06332C">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5.5.2 门窗工程</w:t>
      </w:r>
    </w:p>
    <w:p w14:paraId="1AD36B1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门窗安装采用节能型附框，洞口周边做断热保温构造处理。</w:t>
      </w:r>
    </w:p>
    <w:p w14:paraId="5F5172E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门窗与墙体连接部位设置防水透汽膜、防水隔汽膜，保持铺设连续及规范搭接。</w:t>
      </w:r>
    </w:p>
    <w:p w14:paraId="7F3D23CC">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门窗安装作业采用电动施工机具。</w:t>
      </w:r>
    </w:p>
    <w:p w14:paraId="7EA3D9C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门窗框与墙体间隙采用环保型发泡及密封材料填充，严禁使用高挥发性发泡制品。</w:t>
      </w:r>
    </w:p>
    <w:p w14:paraId="2B0F6921">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门窗密封采用低 VOC 配套胶材；密封条连续布设，无间断断点。</w:t>
      </w:r>
    </w:p>
    <w:p w14:paraId="3463CF7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施工现场废弃型材、玻璃构件分类收集，集中做再生处置。</w:t>
      </w:r>
    </w:p>
    <w:p w14:paraId="093C6818">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5.5.3 屋面工程</w:t>
      </w:r>
    </w:p>
    <w:p w14:paraId="526FFC54">
      <w:pPr>
        <w:rPr>
          <w:rFonts w:hint="eastAsia" w:ascii="宋体" w:hAnsi="宋体" w:eastAsia="宋体" w:cs="宋体"/>
          <w:b/>
          <w:bCs/>
          <w:snapToGrid w:val="0"/>
          <w:color w:val="000000"/>
          <w:kern w:val="0"/>
          <w:sz w:val="24"/>
          <w:szCs w:val="24"/>
          <w:lang w:val="en-US" w:eastAsia="zh-CN" w:bidi="ar"/>
        </w:rPr>
      </w:pPr>
    </w:p>
    <w:p w14:paraId="5FDA53E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屋面找坡层、保温层按构造工艺分层铺设施工；松散集料基层采取分层铺筑、分层压实作业。</w:t>
      </w:r>
    </w:p>
    <w:p w14:paraId="232EC49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屋面防水层按设计构造工艺施工；现场严控湿法作业随意增设工序。</w:t>
      </w:r>
    </w:p>
    <w:p w14:paraId="5AF4474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穿屋面管道、女儿墙、设备基础等节点，设置断热、气密及防水加强构造；屋面气密层与外墙气密层做可靠搭接。</w:t>
      </w:r>
    </w:p>
    <w:p w14:paraId="58B437D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屋面施工采用电动机具作业，构件裁切实行集中加工布设。</w:t>
      </w:r>
    </w:p>
    <w:p w14:paraId="0A20F1F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屋面雨水接入收集设施，可用于现场施工养护；屋面施工废弃物分类归集，统一规范处置。</w:t>
      </w:r>
    </w:p>
    <w:p w14:paraId="708CF1E9">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5.5.4 地面工程</w:t>
      </w:r>
    </w:p>
    <w:p w14:paraId="62846CB1">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地面基层施工应采用建筑固废再生砂石、再生骨料铺筑；基层应按构造要求做好防潮、隔汽、断热施工处理。</w:t>
      </w:r>
    </w:p>
    <w:p w14:paraId="3967B9F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基层施工产生的建筑垃圾应就地资源化处置，严禁随意外运填埋。</w:t>
      </w:r>
    </w:p>
    <w:p w14:paraId="3903144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现场施工材料应实行集中配料、集中裁切加工；作业余料及边角废料应分类归集，就地统筹调剂利用。</w:t>
      </w:r>
    </w:p>
    <w:p w14:paraId="5BC0D24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地面与墙体、柱体、管线交接部位，应做断热、气密、防水一体化连续构造处理。</w:t>
      </w:r>
    </w:p>
    <w:p w14:paraId="7566D5B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采暖及空调区域地面保温构造应连续完整施工，不得出现间断、破损缺陷。</w:t>
      </w:r>
    </w:p>
    <w:p w14:paraId="59A0122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地面管线、设备基础周边，应做密封、隔汽、断热加强构造处理。</w:t>
      </w:r>
    </w:p>
    <w:p w14:paraId="5687A5E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 整体现浇类地面拌合料应优化配合比控制；成型后应采用覆膜保湿养护，养护用水宜利用雨水或再生水。</w:t>
      </w:r>
    </w:p>
    <w:p w14:paraId="1D0C848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 自流平、环氧涂装类地面应在封闭区域内施工，控制挥发性物质扩散；配套材料应随开随用，减少闲置损耗。</w:t>
      </w:r>
    </w:p>
    <w:p w14:paraId="3BC5205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 块材铺贴类地面施工应集约控制粘结砂浆使用量；勾缝应采用环保型配套材料。</w:t>
      </w:r>
    </w:p>
    <w:p w14:paraId="6A16E1A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 室外地面施工应合理控制土方开挖范围，减少场地扰动及原有植被破坏。</w:t>
      </w:r>
    </w:p>
    <w:p w14:paraId="295C8703">
      <w:pPr>
        <w:spacing w:before="92" w:line="222" w:lineRule="auto"/>
        <w:jc w:val="center"/>
        <w:outlineLvl w:val="1"/>
        <w:rPr>
          <w:rFonts w:hint="eastAsia" w:ascii="黑体" w:hAnsi="黑体" w:eastAsia="黑体" w:cs="黑体"/>
          <w:b/>
          <w:bCs/>
          <w:spacing w:val="-3"/>
          <w:sz w:val="28"/>
          <w:szCs w:val="28"/>
          <w:lang w:val="en-US" w:eastAsia="zh-CN"/>
        </w:rPr>
      </w:pPr>
      <w:bookmarkStart w:id="31" w:name="_Toc8738"/>
      <w:r>
        <w:rPr>
          <w:rFonts w:hint="eastAsia" w:ascii="黑体" w:hAnsi="黑体" w:eastAsia="黑体" w:cs="黑体"/>
          <w:b/>
          <w:bCs/>
          <w:spacing w:val="-3"/>
          <w:sz w:val="24"/>
          <w:szCs w:val="24"/>
          <w:lang w:eastAsia="zh-CN"/>
        </w:rPr>
        <w:t>5.6</w:t>
      </w:r>
      <w:r>
        <w:rPr>
          <w:rFonts w:ascii="黑体" w:hAnsi="黑体" w:eastAsia="黑体" w:cs="黑体"/>
          <w:spacing w:val="104"/>
          <w:sz w:val="24"/>
          <w:szCs w:val="24"/>
        </w:rPr>
        <w:t xml:space="preserve"> </w:t>
      </w:r>
      <w:r>
        <w:rPr>
          <w:rFonts w:hint="eastAsia" w:ascii="黑体" w:hAnsi="黑体" w:eastAsia="黑体" w:cs="黑体"/>
          <w:b/>
          <w:bCs/>
          <w:spacing w:val="-3"/>
          <w:sz w:val="28"/>
          <w:szCs w:val="28"/>
          <w:lang w:val="en-US" w:eastAsia="zh-CN"/>
        </w:rPr>
        <w:t>装饰装修工程</w:t>
      </w:r>
      <w:bookmarkEnd w:id="31"/>
    </w:p>
    <w:p w14:paraId="12D58053">
      <w:pPr>
        <w:spacing w:before="92" w:line="222" w:lineRule="auto"/>
        <w:jc w:val="center"/>
        <w:outlineLvl w:val="1"/>
        <w:rPr>
          <w:rFonts w:hint="eastAsia" w:ascii="黑体" w:hAnsi="黑体" w:eastAsia="黑体" w:cs="黑体"/>
          <w:b/>
          <w:bCs/>
          <w:spacing w:val="-3"/>
          <w:sz w:val="28"/>
          <w:szCs w:val="28"/>
          <w:lang w:val="en-US" w:eastAsia="zh-CN"/>
        </w:rPr>
      </w:pPr>
    </w:p>
    <w:p w14:paraId="4D377BFC">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5.6.1   抹灰工程</w:t>
      </w:r>
    </w:p>
    <w:p w14:paraId="53DF020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抹灰施工严禁现场人工拌合砂浆，应采用成品预拌砂浆集中配送使用。</w:t>
      </w:r>
    </w:p>
    <w:p w14:paraId="21BAD704">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砂浆应按需限额领用，现场规范仓储、做好防潮防护，杜绝材料变质报废。</w:t>
      </w:r>
    </w:p>
    <w:p w14:paraId="0B5DAC1E">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基层清理、界面处理、防裂挂网等前置工序应一次性施工完成。</w:t>
      </w:r>
    </w:p>
    <w:p w14:paraId="1EF7AAB0">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抹灰应严格按工艺分层施工，控制单次抹灰厚度，不得超厚一次成型。</w:t>
      </w:r>
    </w:p>
    <w:p w14:paraId="37F3110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抹灰养护应采用覆膜密闭保湿方式，养护用水宜采用收集的雨水或再生中水。</w:t>
      </w:r>
    </w:p>
    <w:p w14:paraId="477AD875">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现场余留砂浆及落地灰渣应定点集中收集，可回用物料就地合理利用，其余统一归集做资源化处置。</w:t>
      </w:r>
    </w:p>
    <w:p w14:paraId="7B09F438">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 阴阳角、窗台、檐口滴水等细部构造应随抹灰同步一次成型，严禁后期剔凿修补。</w:t>
      </w:r>
    </w:p>
    <w:p w14:paraId="18AFF21E">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5.6.2   吊顶工程</w:t>
      </w:r>
    </w:p>
    <w:p w14:paraId="00978C5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吊顶构配件施工前应统筹排版优化下料，构配件宜采用工厂定尺预制加工。</w:t>
      </w:r>
    </w:p>
    <w:p w14:paraId="420B474E">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吊顶施工应采用干法装配工艺，严禁现场采用焊接作业；杆件拼接、面板就位宜采用装配式卡扣、企口拼装构造。</w:t>
      </w:r>
    </w:p>
    <w:p w14:paraId="51CEFB2B">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吊顶安装应采用激光投线及精密测量仪器定位放线，吊杆、龙骨排布应一次就位调平，不得随意拆改、移位及裁切已安装成品构件。</w:t>
      </w:r>
    </w:p>
    <w:p w14:paraId="493124D9">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吊顶与灯具、风口、检修口衔接部位应按预留尺寸一次安装成型，不得现场随意扩孔、剔凿修整。</w:t>
      </w:r>
    </w:p>
    <w:p w14:paraId="67A0E146">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吊顶构造安装宜采用可拆卸装配式做法。</w:t>
      </w:r>
    </w:p>
    <w:p w14:paraId="744F95F0">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5.6.3   轻质隔墙工程</w:t>
      </w:r>
    </w:p>
    <w:p w14:paraId="2FE170CE">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施工前应结合板材规格及管线走向统筹排版排块，构配件宜采用工厂定尺预制加工，同步预留管线安装孔洞。</w:t>
      </w:r>
    </w:p>
    <w:p w14:paraId="2414D69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轻质隔墙施工应采用干法装配式工艺，严禁采用湿法砌筑及现场拌合砂浆找平作业。</w:t>
      </w:r>
    </w:p>
    <w:p w14:paraId="37FE028A">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隔墙轴线及龙骨分格应采用精密测量仪器一次性定位放线，龙骨及隔墙板材应按排版图纸就位安装，不得随意拆改移位。</w:t>
      </w:r>
    </w:p>
    <w:p w14:paraId="3E30BCD1">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隔墙板材拼接及与建筑结构交接节点应一次施工成型，不得后期剔凿修整。</w:t>
      </w:r>
    </w:p>
    <w:p w14:paraId="19C461CF">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隔墙内部管线应与板材安装同步施工，不得在已完成安装的隔墙板材上擅自开槽、钻孔。</w:t>
      </w:r>
    </w:p>
    <w:p w14:paraId="60E2B274">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隔墙防潮、防火专用构造节点应按工艺标准一次性施工成型。</w:t>
      </w:r>
    </w:p>
    <w:p w14:paraId="73A9098C">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 隔墙连接构造宜采用可拆卸装配式节点形式。</w:t>
      </w:r>
    </w:p>
    <w:p w14:paraId="070277B3">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5.6.4   饰面板与饰面砖工程</w:t>
      </w:r>
    </w:p>
    <w:p w14:paraId="0D10B54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饰面板、饰面砖施工前应做排版排砖深化设计，构配件宜工厂定尺加工，各类设备洞口应前置统一预留。</w:t>
      </w:r>
    </w:p>
    <w:p w14:paraId="521FC0FE">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墙面控制线、挂件及龙骨分格应采用精密仪器一次性定位放线，板材和面砖应按排版方案就位安装，不得随意调整拆改。</w:t>
      </w:r>
    </w:p>
    <w:p w14:paraId="3DC5F8C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饰面板干挂应采用标准化装配式节点构造；饰面砖镶贴严禁现场随意拌制粘结砂浆，不得采用大面积湿法修整找平工艺。</w:t>
      </w:r>
    </w:p>
    <w:p w14:paraId="55E47BA2">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板材、面砖安装接缝及收口构造应同步成型，严禁对已完工面层进行剔凿、开槽、钻孔及切割修整。</w:t>
      </w:r>
    </w:p>
    <w:p w14:paraId="6D9D8C90">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5.6.5   涂饰、裱糊与软包工程</w:t>
      </w:r>
    </w:p>
    <w:p w14:paraId="6A742D3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 涂饰及裱糊施工前，基层应按工艺标准做平整、洁净、干燥处理，面层分格应按设计要求统一规划，一次成型。</w:t>
      </w:r>
    </w:p>
    <w:p w14:paraId="4B76C2A4">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 严禁现场自行调配涂料、裱糊胶黏剂，施工应采用成品配套材料。</w:t>
      </w:r>
    </w:p>
    <w:p w14:paraId="134B986B">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 建筑涂饰应分层连续施作，不得反复打磨、返修返工。</w:t>
      </w:r>
    </w:p>
    <w:p w14:paraId="7CEE91A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 裱糊、软包构配件宜工厂预制成型，现场应采用干法装配工艺施工。</w:t>
      </w:r>
    </w:p>
    <w:p w14:paraId="2BF48F8D">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 涂饰、裱糊与软包的阴阳角及交接节点，应同步一次性施工成型。</w:t>
      </w:r>
    </w:p>
    <w:p w14:paraId="5AE3C4BE">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 不得对已完工的涂饰、裱糊、软包面层进行剔凿、切割及破坏性修整。</w:t>
      </w:r>
    </w:p>
    <w:p w14:paraId="752E7097">
      <w:pPr>
        <w:spacing w:before="184" w:line="313" w:lineRule="auto"/>
        <w:ind w:left="23" w:right="13" w:firstLine="476"/>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 软包连接构造宜采用可拆卸装配式节点形式。</w:t>
      </w:r>
    </w:p>
    <w:p w14:paraId="5BEAFF9F">
      <w:pPr>
        <w:pStyle w:val="7"/>
        <w:spacing w:line="461" w:lineRule="auto"/>
      </w:pPr>
    </w:p>
    <w:p w14:paraId="4319CB8D">
      <w:pPr>
        <w:spacing w:before="92" w:line="222" w:lineRule="auto"/>
        <w:jc w:val="center"/>
        <w:outlineLvl w:val="1"/>
        <w:rPr>
          <w:rFonts w:hint="eastAsia" w:ascii="黑体" w:hAnsi="黑体" w:eastAsia="黑体" w:cs="黑体"/>
          <w:b/>
          <w:bCs/>
          <w:spacing w:val="-3"/>
          <w:sz w:val="28"/>
          <w:szCs w:val="28"/>
          <w:lang w:val="en-US" w:eastAsia="zh-CN"/>
        </w:rPr>
      </w:pPr>
      <w:bookmarkStart w:id="32" w:name="_Toc2028"/>
      <w:r>
        <w:rPr>
          <w:rFonts w:hint="eastAsia" w:ascii="黑体" w:hAnsi="黑体" w:eastAsia="黑体" w:cs="黑体"/>
          <w:b/>
          <w:bCs/>
          <w:spacing w:val="-3"/>
          <w:sz w:val="24"/>
          <w:szCs w:val="24"/>
          <w:lang w:eastAsia="zh-CN"/>
        </w:rPr>
        <w:t>5.7</w:t>
      </w:r>
      <w:r>
        <w:rPr>
          <w:rFonts w:ascii="黑体" w:hAnsi="黑体" w:eastAsia="黑体" w:cs="黑体"/>
          <w:spacing w:val="104"/>
          <w:sz w:val="24"/>
          <w:szCs w:val="24"/>
        </w:rPr>
        <w:t xml:space="preserve"> </w:t>
      </w:r>
      <w:r>
        <w:rPr>
          <w:rFonts w:hint="eastAsia" w:ascii="黑体" w:hAnsi="黑体" w:eastAsia="黑体" w:cs="黑体"/>
          <w:b/>
          <w:bCs/>
          <w:spacing w:val="-3"/>
          <w:sz w:val="28"/>
          <w:szCs w:val="28"/>
          <w:lang w:val="en-US" w:eastAsia="zh-CN"/>
        </w:rPr>
        <w:t>机电安装工程</w:t>
      </w:r>
      <w:bookmarkEnd w:id="32"/>
    </w:p>
    <w:p w14:paraId="3AD2F393">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5.7.1   给水排水及供暖工程</w:t>
      </w:r>
    </w:p>
    <w:p w14:paraId="1F8B248B">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管道连接应采用卡压、沟槽、热熔或制式焊接工艺，严禁采用水泥捻口、沥青密封类湿作业接口；现场严禁燃油明火加热作业。</w:t>
      </w:r>
    </w:p>
    <w:p w14:paraId="13F55482">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管道压力试验应分区分段、分级升压实施，试验用水应设置循环回用措施。</w:t>
      </w:r>
    </w:p>
    <w:p w14:paraId="3ACFFEAE">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管道保温应采用预制保温管或现场整体包覆，保温层及密封构造应一次成型。</w:t>
      </w:r>
    </w:p>
    <w:p w14:paraId="4534E218">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分集水器、阀组应采用模块化集成安装，系统试压、冲洗及调试应一次验收合格。</w:t>
      </w:r>
    </w:p>
    <w:p w14:paraId="14B4A658">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管井管线应分层有序排布，排布走向规整，严禁交叉碰撞。</w:t>
      </w:r>
    </w:p>
    <w:p w14:paraId="3D1E46B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 供暖埋地管道应试压合格后方可隐蔽，隐蔽前应同步完成防腐、保温及防水构造施工。</w:t>
      </w:r>
    </w:p>
    <w:p w14:paraId="35F54EE2">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 给排水工程推行永临结合施工时，可利用永久给水主干管、雨水立管及室外综合管沟，兼作施工临时生产用水、场地排水及临时管线敷设通道，不得复用压力容器及精密阀组。</w:t>
      </w:r>
    </w:p>
    <w:p w14:paraId="45862C39">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 永临结合复用的管道及管沟应做好防淤、防污染防护，施工接驳部位设置临时隔离装置；竣工前完成全线冲洗、复位及功能核验。</w:t>
      </w:r>
    </w:p>
    <w:p w14:paraId="148E8548">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5.7.2   通风与空调工程</w:t>
      </w:r>
    </w:p>
    <w:p w14:paraId="20846CAF">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风管与设备接口应采用柔性连接件装配，接口连接应严密牢靠。</w:t>
      </w:r>
    </w:p>
    <w:p w14:paraId="19BE023F">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风管穿越防火分区、结构缝隙部位，应采用防火封堵材料或不燃柔性材料同步封堵严密。</w:t>
      </w:r>
    </w:p>
    <w:p w14:paraId="326D0286">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空调机组、风机等设备减振及接驳构造应一次安装到位，不得反复调校拆装。</w:t>
      </w:r>
    </w:p>
    <w:p w14:paraId="297837CA">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通风与空调工程推行永临结合施工时，可利用永久送风、排风管道及机房土建风道，兼作施工阶段临时通风、除尘及排烟通道，不得复用空调主机及净化末端设备。</w:t>
      </w:r>
    </w:p>
    <w:p w14:paraId="3E62B45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永临结合风管及风道应采取防尘、封堵防护措施，临时风口应规整设置；竣工前完成风口复位、风道清理及系统工况调试。</w:t>
      </w:r>
    </w:p>
    <w:p w14:paraId="43805CB5">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5.7.3   建筑电气工程</w:t>
      </w:r>
    </w:p>
    <w:p w14:paraId="4DF341F1">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线缆敷设作业应采取可靠防护措施，敷设时不得损伤线缆绝缘及护套层。</w:t>
      </w:r>
    </w:p>
    <w:p w14:paraId="592D6228">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防雷引下线、接地联结应按工艺要求可靠贯通搭接，联结节点施工应一次成型。</w:t>
      </w:r>
    </w:p>
    <w:p w14:paraId="6F987AE3">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配电箱体、终端器具安装应就位规整，与墙体饰面衔接平顺，不得事后凿打修整。</w:t>
      </w:r>
    </w:p>
    <w:p w14:paraId="1925A5B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电气系统绝缘测试、通电试运行应统筹批次一次性完成，避免设备重复启停产生额外能耗。</w:t>
      </w:r>
    </w:p>
    <w:p w14:paraId="23639F59">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母线、桥架穿越楼板及防火分区处，防火封堵应同步施工、一次成型。</w:t>
      </w:r>
    </w:p>
    <w:p w14:paraId="134EDD6D">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 建筑电气工程推行永临结合施工时，可利用永久配电桥架、管线及室外配电基础，兼作施工现场临时用电线路敷设载体及临时配电布设支点，不得复用正式配电柜、变压器及精密控制设备。</w:t>
      </w:r>
    </w:p>
    <w:p w14:paraId="2A68B870">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 永临结合的电气桥架、管线应做好封闭防尘、防机械损伤保护，临时用电回路应设置独立隔离保护；竣工前拆除临时接驳，完成全线核验复位。</w:t>
      </w:r>
    </w:p>
    <w:p w14:paraId="5D5AAE45">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5.7.4 电梯工程</w:t>
      </w:r>
    </w:p>
    <w:p w14:paraId="737C4DB3">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电梯导轨安装调校应一次性找正就位，不得反复校正拆装。</w:t>
      </w:r>
    </w:p>
    <w:p w14:paraId="5EFBBDAD">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轿厢、层门及配套构件应成套整体装配，现场不得随意切割改制。</w:t>
      </w:r>
    </w:p>
    <w:p w14:paraId="528D5D60">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井道内部附属构件应随安装工序同步施工，不得后期补装增设。</w:t>
      </w:r>
    </w:p>
    <w:p w14:paraId="55F55FE9">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电梯层门洞口周边构造应同步收口成型，严禁事后凿打修整。</w:t>
      </w:r>
    </w:p>
    <w:p w14:paraId="34974036">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机房设备与井道管线衔接应匹配就位，接口装配规整严密。</w:t>
      </w:r>
    </w:p>
    <w:p w14:paraId="08C29389">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 电梯整机调试应统筹工序一次性完成，不得频繁启停反复调试。</w:t>
      </w:r>
    </w:p>
    <w:p w14:paraId="5F6B4B0F">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5.7.5  建筑智能化工程</w:t>
      </w:r>
    </w:p>
    <w:p w14:paraId="2C3CC1EA">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智能化弱电线缆敷设应采取防护措施，敷设作业不得损伤线缆护套及芯线。</w:t>
      </w:r>
    </w:p>
    <w:p w14:paraId="62DE9EA8">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机房机柜、配线设备应整体就位安装，柜体拼接及固定构造应平整牢固。</w:t>
      </w:r>
    </w:p>
    <w:p w14:paraId="0E2B8702">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各类前端终端设备应按标定位置精准安装，与饰面结合应平整贴合，严禁事后凿打修整。</w:t>
      </w:r>
    </w:p>
    <w:p w14:paraId="0CFD426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系统线缆端接、跳线标识应同步布设规整，接线施工应一次成型，不得反复拆接调校。</w:t>
      </w:r>
    </w:p>
    <w:p w14:paraId="0EC3144D">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智能化各子系统应统筹组织联动调试，系统调试应一次性完成。</w:t>
      </w:r>
    </w:p>
    <w:p w14:paraId="0226E0F6">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 系统安装完成后，严禁私自增设设备点位、私拉线缆及改动原有回路布设。</w:t>
      </w:r>
    </w:p>
    <w:p w14:paraId="4F8CB6A1">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 智能化工程推行永临结合施工时，应优先复用桥架、线槽、管线、立杆及空箱体等无源载体，精密电子设备不得提前投入使用。</w:t>
      </w:r>
    </w:p>
    <w:p w14:paraId="7E78013D">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 永临结合的永久设施应采取封闭、覆膜、围挡等成品保护措施，临时用电及信号回路应设置隔离限流装置，设备不得超工况、超负荷运行。</w:t>
      </w:r>
    </w:p>
    <w:p w14:paraId="3734CFCE">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 永临结合设施应建立专项管理台账，施工使用期间应定期巡检维护；工程竣工前应完成全面复位、检修及功能核验。</w:t>
      </w:r>
    </w:p>
    <w:p w14:paraId="34BD2079">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5.7.6 消防工程</w:t>
      </w:r>
    </w:p>
    <w:p w14:paraId="7A26598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消防管道应采用制式装配连接工艺，现场不得随意改制加工。</w:t>
      </w:r>
    </w:p>
    <w:p w14:paraId="6585A148">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火灾探测器、报警模块及各类消防终端器件，应按标定点位精准安装，不得后期移位改动。</w:t>
      </w:r>
    </w:p>
    <w:p w14:paraId="536DC0BD">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防火卷帘、挡烟垂壁等消防分隔构件应成套装配就位，安装间隙及固定构造应规整严密。</w:t>
      </w:r>
    </w:p>
    <w:p w14:paraId="5786AA9A">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消防管线穿越防火分区、墙体及楼板部位，防火封堵构造应同步施工到位。</w:t>
      </w:r>
    </w:p>
    <w:p w14:paraId="1D76CB89">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消防各子系统联动调试应统一策划、统筹实施，调试工作应一次性闭环完成。</w:t>
      </w:r>
    </w:p>
    <w:p w14:paraId="45DE4BC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 消防工程推行永临结合施工时，可利用消防给水管网、配电干线、广播管线及预埋构件作为施工现场临时消防水源、应急警示及防护载体，严禁复用消防精密电子设备与灭火核心组件。</w:t>
      </w:r>
    </w:p>
    <w:p w14:paraId="61E56518">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 永临结合所复用的消防永久设施，应增设隔离、过滤及防护构造，施工期间定期巡检养护，不得弱化原有消防使用功能。</w:t>
      </w:r>
    </w:p>
    <w:p w14:paraId="3A2AC111">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 与永久消防设施接驳的临时配套设施，应在工程竣工前全部拆除；复用设施应完成复位、全面检测调试。</w:t>
      </w:r>
    </w:p>
    <w:p w14:paraId="21EB06E0">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5.7.7  建筑可再生能源应用工程</w:t>
      </w:r>
    </w:p>
    <w:p w14:paraId="350CCC5C">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太阳能集热器、地埋管换热器等核心设备应按标定位置精准安装，固定构造应牢固可靠，不得后期移位调整。</w:t>
      </w:r>
    </w:p>
    <w:p w14:paraId="10C5261D">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可再生能源系统管路连接应密封严密，换热介质输送管路应同步完成保温、防结露构造施工，一次成型。</w:t>
      </w:r>
    </w:p>
    <w:p w14:paraId="79E970C6">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系统与建筑主体结构、常规机电系统的衔接节点应随施工进程同步施作，严禁事后剔凿修整。</w:t>
      </w:r>
    </w:p>
    <w:p w14:paraId="65B08EA7">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系统介质充注应精准计量，按规范要求完成排气、试压及泄漏检测，一次验收合格。</w:t>
      </w:r>
    </w:p>
    <w:p w14:paraId="58D341BB">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并网控制、能效监测装置应调试到位，与建筑能耗监测系统的数据联通应顺畅有效。</w:t>
      </w:r>
    </w:p>
    <w:p w14:paraId="18555CFA">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 施工全过程应采取专项防护措施，避免设备外壳划伤、管路破损及介质泄漏。</w:t>
      </w:r>
    </w:p>
    <w:p w14:paraId="04D40DBC">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 可再生能源工程推行永临结合施工时，可复用系统永久管路作为施工临时换热介质输送通道，不得复用核心换热设备及控制模块。</w:t>
      </w:r>
    </w:p>
    <w:p w14:paraId="5BE72734">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 复用的永久管路应设置临时过滤、隔离装置，施工期间定期巡检维护，竣工前完成复位清洗与功能核验。</w:t>
      </w:r>
    </w:p>
    <w:p w14:paraId="3C062357">
      <w:pPr>
        <w:spacing w:before="184" w:line="313" w:lineRule="auto"/>
        <w:ind w:left="23" w:right="13" w:firstLine="476"/>
        <w:rPr>
          <w:rFonts w:hint="eastAsia" w:ascii="宋体" w:hAnsi="宋体" w:eastAsia="宋体" w:cs="宋体"/>
          <w:sz w:val="24"/>
          <w:szCs w:val="24"/>
          <w:lang w:val="en-US" w:eastAsia="zh-CN"/>
        </w:rPr>
      </w:pPr>
    </w:p>
    <w:p w14:paraId="6C721636">
      <w:pPr>
        <w:spacing w:before="92" w:line="222" w:lineRule="auto"/>
        <w:jc w:val="center"/>
        <w:outlineLvl w:val="1"/>
        <w:rPr>
          <w:rFonts w:hint="eastAsia" w:ascii="黑体" w:hAnsi="黑体" w:eastAsia="黑体" w:cs="黑体"/>
          <w:b/>
          <w:bCs/>
          <w:spacing w:val="-3"/>
          <w:sz w:val="24"/>
          <w:szCs w:val="24"/>
          <w:lang w:eastAsia="zh-CN"/>
        </w:rPr>
      </w:pPr>
      <w:bookmarkStart w:id="33" w:name="_Toc7035"/>
      <w:r>
        <w:rPr>
          <w:rFonts w:hint="eastAsia" w:ascii="黑体" w:hAnsi="黑体" w:eastAsia="黑体" w:cs="黑体"/>
          <w:b/>
          <w:bCs/>
          <w:spacing w:val="-3"/>
          <w:sz w:val="24"/>
          <w:szCs w:val="24"/>
          <w:lang w:eastAsia="zh-CN"/>
        </w:rPr>
        <w:t>5.8   拆除工程</w:t>
      </w:r>
      <w:bookmarkEnd w:id="33"/>
    </w:p>
    <w:p w14:paraId="0E7BB3A1">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5.8.1 拆除作业前应编制零碳专项施工方案，施工应遵循先装饰后结构、先机电后土建、先非承重后承重、先上部后下部的作业顺序，严禁违规破拆与无序凿除。</w:t>
      </w:r>
    </w:p>
    <w:p w14:paraId="51747F06">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5.8.2 </w:t>
      </w:r>
      <w:r>
        <w:rPr>
          <w:rFonts w:ascii="宋体" w:hAnsi="宋体" w:eastAsia="宋体" w:cs="宋体"/>
          <w:i w:val="0"/>
          <w:strike w:val="0"/>
          <w:spacing w:val="0"/>
          <w:sz w:val="24"/>
          <w:u w:val="none"/>
        </w:rPr>
        <w:t>拆除施工应统筹安全、环保、减碳协同管控，优先采用低扰动、低排放、高回收的工艺，减少扬尘、噪声、建筑垃圾与碳排放</w:t>
      </w:r>
      <w:r>
        <w:rPr>
          <w:rFonts w:hint="eastAsia" w:ascii="宋体" w:hAnsi="宋体" w:eastAsia="宋体" w:cs="宋体"/>
          <w:sz w:val="24"/>
          <w:szCs w:val="24"/>
          <w:lang w:val="en-US" w:eastAsia="zh-CN"/>
        </w:rPr>
        <w:t>。</w:t>
      </w:r>
    </w:p>
    <w:p w14:paraId="425FE1EA">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5.8.3 拆除施工宜采用湿法作业并采取喷淋降尘措施，建筑垃圾应密闭堆放、封闭转运；应合理安排作业时段，控制施工噪声影响。</w:t>
      </w:r>
    </w:p>
    <w:p w14:paraId="408A0674">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5.8.4 拆除施工应分区分段有序实施，构件宜分段拆解、逐段清运，严禁采用整体推倒、倾覆式拆除方式。</w:t>
      </w:r>
    </w:p>
    <w:p w14:paraId="3A7A0D64">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5.8.5 拆除作业对既有保留管线、在用设备及完好饰面构件，应采取避让与防护措施，不得擅自切割、移位及改动在用系统构造。</w:t>
      </w:r>
    </w:p>
    <w:p w14:paraId="2BF3615F">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5.8.6 具备回收利用价值的构配件，应采用人工拆解方式施工；拆解后分类码放、妥善防护，防止构件磕碰变形及损坏。</w:t>
      </w:r>
    </w:p>
    <w:p w14:paraId="14128FF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5.8.7 拆除产生的废料、建材及渣土应分类堆放、分类清运，不得混杂堆存、违规倾倒。</w:t>
      </w:r>
    </w:p>
    <w:p w14:paraId="6BBFCAC6">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5.8.8 拆除产生的混凝土、砖石类建筑垃圾，宜就地破碎筛分进行资源化处置，可作为场地回填、路基垫层等工程用材。</w:t>
      </w:r>
    </w:p>
    <w:p w14:paraId="2596BB4E">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5.8.9 拆除工程推行永临结合施工时，可利用拟拆除原有围墙、建筑地坪、老旧构筑物及基础结构，作为施工临时围挡、临时通行道路及材料堆场支座；结构利用前应复核安全稳定性，不应新建同类临时构筑物。</w:t>
      </w:r>
    </w:p>
    <w:p w14:paraId="3D84AEC0">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5.8.10 </w:t>
      </w:r>
      <w:r>
        <w:rPr>
          <w:rFonts w:ascii="宋体" w:hAnsi="宋体" w:eastAsia="宋体" w:cs="宋体"/>
          <w:i w:val="0"/>
          <w:strike w:val="0"/>
          <w:spacing w:val="0"/>
          <w:sz w:val="24"/>
          <w:u w:val="none"/>
        </w:rPr>
        <w:t>拆除过程应按月开展碳排放核算，重点核算设备能耗、运输排放、废弃物处置排放，形成核算报告</w:t>
      </w:r>
      <w:r>
        <w:rPr>
          <w:rFonts w:hint="eastAsia" w:ascii="宋体" w:hAnsi="宋体" w:eastAsia="宋体" w:cs="宋体"/>
          <w:sz w:val="24"/>
          <w:szCs w:val="24"/>
          <w:lang w:val="en-US" w:eastAsia="zh-CN"/>
        </w:rPr>
        <w:t>。</w:t>
      </w:r>
    </w:p>
    <w:p w14:paraId="37364148">
      <w:pPr>
        <w:spacing w:before="184" w:line="313" w:lineRule="auto"/>
        <w:ind w:left="23" w:right="13" w:firstLine="476"/>
        <w:rPr>
          <w:rFonts w:ascii="宋体" w:hAnsi="宋体" w:eastAsia="宋体" w:cs="宋体"/>
          <w:i w:val="0"/>
          <w:strike w:val="0"/>
          <w:spacing w:val="0"/>
          <w:sz w:val="24"/>
          <w:u w:val="none"/>
        </w:rPr>
      </w:pPr>
      <w:r>
        <w:rPr>
          <w:rFonts w:hint="eastAsia" w:ascii="宋体" w:hAnsi="宋体" w:eastAsia="宋体" w:cs="宋体"/>
          <w:sz w:val="24"/>
          <w:szCs w:val="24"/>
          <w:lang w:val="en-US" w:eastAsia="zh-CN"/>
        </w:rPr>
        <w:t xml:space="preserve">5.8.11 </w:t>
      </w:r>
      <w:r>
        <w:rPr>
          <w:rFonts w:ascii="宋体" w:hAnsi="宋体" w:eastAsia="宋体" w:cs="宋体"/>
          <w:i w:val="0"/>
          <w:strike w:val="0"/>
          <w:spacing w:val="0"/>
          <w:sz w:val="24"/>
          <w:u w:val="none"/>
        </w:rPr>
        <w:t>拆除工程完工后应开展零碳拆除专项验收，核查废弃物资源化率、设备电动化率、绿电使用率、环保达标情况。</w:t>
      </w:r>
    </w:p>
    <w:p w14:paraId="31ED0A2A">
      <w:pPr>
        <w:spacing w:before="184" w:line="313" w:lineRule="auto"/>
        <w:ind w:left="23" w:right="13" w:firstLine="476"/>
        <w:rPr>
          <w:rFonts w:ascii="宋体" w:hAnsi="宋体" w:eastAsia="宋体" w:cs="宋体"/>
          <w:i w:val="0"/>
          <w:strike w:val="0"/>
          <w:spacing w:val="0"/>
          <w:sz w:val="24"/>
          <w:u w:val="none"/>
        </w:rPr>
      </w:pPr>
      <w:r>
        <w:rPr>
          <w:rFonts w:hint="eastAsia" w:ascii="宋体" w:hAnsi="宋体" w:eastAsia="宋体" w:cs="宋体"/>
          <w:sz w:val="24"/>
          <w:szCs w:val="24"/>
          <w:lang w:val="en-US" w:eastAsia="zh-CN"/>
        </w:rPr>
        <w:t>5.8.12</w:t>
      </w:r>
      <w:r>
        <w:rPr>
          <w:rFonts w:ascii="宋体" w:hAnsi="宋体" w:eastAsia="宋体" w:cs="宋体"/>
          <w:i w:val="0"/>
          <w:strike w:val="0"/>
          <w:spacing w:val="0"/>
          <w:sz w:val="24"/>
          <w:u w:val="none"/>
        </w:rPr>
        <w:t xml:space="preserve"> 拆除工程资料</w:t>
      </w:r>
      <w:r>
        <w:rPr>
          <w:rFonts w:hint="eastAsia" w:ascii="宋体" w:hAnsi="宋体" w:eastAsia="宋体" w:cs="宋体"/>
          <w:i w:val="0"/>
          <w:strike w:val="0"/>
          <w:spacing w:val="0"/>
          <w:sz w:val="24"/>
          <w:u w:val="none"/>
        </w:rPr>
        <w:t>宜</w:t>
      </w:r>
      <w:r>
        <w:rPr>
          <w:rFonts w:ascii="宋体" w:hAnsi="宋体" w:eastAsia="宋体" w:cs="宋体"/>
          <w:i w:val="0"/>
          <w:strike w:val="0"/>
          <w:spacing w:val="0"/>
          <w:sz w:val="24"/>
          <w:u w:val="none"/>
        </w:rPr>
        <w:t>电子化归档，留存时间不应少于 5 年，纳入项目全过程零碳施工档案。</w:t>
      </w:r>
    </w:p>
    <w:p w14:paraId="614B8939">
      <w:pPr>
        <w:pStyle w:val="7"/>
        <w:spacing w:line="279" w:lineRule="auto"/>
      </w:pPr>
    </w:p>
    <w:p w14:paraId="179F0833">
      <w:pPr>
        <w:spacing w:before="98" w:line="218" w:lineRule="auto"/>
        <w:ind w:left="2753"/>
        <w:outlineLvl w:val="0"/>
        <w:rPr>
          <w:rFonts w:hint="default" w:ascii="宋体" w:hAnsi="宋体" w:eastAsia="宋体" w:cs="宋体"/>
          <w:sz w:val="30"/>
          <w:szCs w:val="30"/>
          <w:lang w:val="en-US" w:eastAsia="zh-CN"/>
        </w:rPr>
      </w:pPr>
      <w:bookmarkStart w:id="34" w:name="_Toc16247"/>
      <w:r>
        <w:rPr>
          <w:rFonts w:hint="eastAsia" w:ascii="Times New Roman" w:hAnsi="Times New Roman" w:eastAsia="宋体" w:cs="Times New Roman"/>
          <w:b/>
          <w:bCs/>
          <w:spacing w:val="-4"/>
          <w:sz w:val="30"/>
          <w:szCs w:val="30"/>
          <w:lang w:val="en-US" w:eastAsia="zh-CN"/>
        </w:rPr>
        <w:t>6</w:t>
      </w:r>
      <w:r>
        <w:rPr>
          <w:rFonts w:ascii="Times New Roman" w:hAnsi="Times New Roman" w:eastAsia="Times New Roman" w:cs="Times New Roman"/>
          <w:b/>
          <w:bCs/>
          <w:spacing w:val="-4"/>
          <w:sz w:val="30"/>
          <w:szCs w:val="30"/>
        </w:rPr>
        <w:t xml:space="preserve">    </w:t>
      </w:r>
      <w:r>
        <w:rPr>
          <w:rFonts w:hint="eastAsia" w:ascii="宋体" w:hAnsi="宋体" w:eastAsia="宋体" w:cs="宋体"/>
          <w:b/>
          <w:bCs/>
          <w:spacing w:val="-4"/>
          <w:sz w:val="30"/>
          <w:szCs w:val="30"/>
        </w:rPr>
        <w:t>供应链管理</w:t>
      </w:r>
      <w:bookmarkEnd w:id="34"/>
      <w:r>
        <w:rPr>
          <w:rFonts w:hint="eastAsia" w:ascii="宋体" w:hAnsi="宋体" w:eastAsia="宋体" w:cs="宋体"/>
          <w:b/>
          <w:bCs/>
          <w:spacing w:val="-4"/>
          <w:sz w:val="30"/>
          <w:szCs w:val="30"/>
          <w:lang w:val="en-US" w:eastAsia="zh-CN"/>
        </w:rPr>
        <w:t xml:space="preserve"> </w:t>
      </w:r>
    </w:p>
    <w:p w14:paraId="328CA15D">
      <w:pPr>
        <w:pStyle w:val="7"/>
        <w:spacing w:line="248" w:lineRule="auto"/>
      </w:pPr>
    </w:p>
    <w:p w14:paraId="0AD4F585">
      <w:pPr>
        <w:pStyle w:val="7"/>
        <w:spacing w:line="248" w:lineRule="auto"/>
      </w:pPr>
    </w:p>
    <w:p w14:paraId="1A27D6B1">
      <w:pPr>
        <w:spacing w:before="91" w:line="222" w:lineRule="auto"/>
        <w:ind w:left="3109"/>
        <w:outlineLvl w:val="1"/>
        <w:rPr>
          <w:rFonts w:ascii="黑体" w:hAnsi="黑体" w:eastAsia="黑体" w:cs="黑体"/>
          <w:sz w:val="28"/>
          <w:szCs w:val="28"/>
        </w:rPr>
      </w:pPr>
      <w:bookmarkStart w:id="35" w:name="bookmark144"/>
      <w:bookmarkEnd w:id="35"/>
      <w:bookmarkStart w:id="36" w:name="_Toc28469"/>
      <w:r>
        <w:rPr>
          <w:rFonts w:hint="eastAsia" w:ascii="黑体" w:hAnsi="黑体" w:eastAsia="黑体" w:cs="黑体"/>
          <w:b/>
          <w:bCs/>
          <w:spacing w:val="-6"/>
          <w:sz w:val="24"/>
          <w:szCs w:val="24"/>
          <w:lang w:eastAsia="zh-CN"/>
        </w:rPr>
        <w:t>6.1</w:t>
      </w:r>
      <w:r>
        <w:rPr>
          <w:rFonts w:ascii="黑体" w:hAnsi="黑体" w:eastAsia="黑体" w:cs="黑体"/>
          <w:spacing w:val="115"/>
          <w:sz w:val="24"/>
          <w:szCs w:val="24"/>
        </w:rPr>
        <w:t xml:space="preserve"> </w:t>
      </w:r>
      <w:r>
        <w:rPr>
          <w:rFonts w:ascii="黑体" w:hAnsi="黑体" w:eastAsia="黑体" w:cs="黑体"/>
          <w:b/>
          <w:bCs/>
          <w:spacing w:val="-6"/>
          <w:sz w:val="28"/>
          <w:szCs w:val="28"/>
        </w:rPr>
        <w:t>一般规定</w:t>
      </w:r>
      <w:bookmarkEnd w:id="36"/>
    </w:p>
    <w:p w14:paraId="2C132BE1">
      <w:pPr>
        <w:pStyle w:val="7"/>
        <w:spacing w:line="460" w:lineRule="auto"/>
      </w:pPr>
    </w:p>
    <w:p w14:paraId="1E28FD38">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6.1</w:t>
      </w:r>
      <w:r>
        <w:rPr>
          <w:rFonts w:hint="eastAsia" w:ascii="Times New Roman" w:hAnsi="Times New Roman" w:eastAsia="Times New Roman" w:cs="Times New Roman"/>
          <w:b/>
          <w:bCs/>
          <w:sz w:val="24"/>
          <w:szCs w:val="24"/>
        </w:rPr>
        <w:t xml:space="preserve">.1    </w:t>
      </w:r>
      <w:r>
        <w:rPr>
          <w:rFonts w:hint="eastAsia" w:ascii="宋体" w:hAnsi="宋体" w:eastAsia="宋体" w:cs="宋体"/>
          <w:sz w:val="24"/>
          <w:szCs w:val="24"/>
        </w:rPr>
        <w:t>零碳建筑施工的供应链管理应围绕施工阶段碳</w:t>
      </w:r>
      <w:r>
        <w:rPr>
          <w:rFonts w:hint="eastAsia" w:ascii="宋体" w:hAnsi="宋体" w:eastAsia="宋体" w:cs="宋体"/>
          <w:sz w:val="24"/>
          <w:szCs w:val="24"/>
          <w:lang w:val="en-US" w:eastAsia="zh-CN"/>
        </w:rPr>
        <w:t>排放</w:t>
      </w:r>
      <w:r>
        <w:rPr>
          <w:rFonts w:hint="eastAsia" w:ascii="宋体" w:hAnsi="宋体" w:eastAsia="宋体" w:cs="宋体"/>
          <w:sz w:val="24"/>
          <w:szCs w:val="24"/>
        </w:rPr>
        <w:t>总目标，建立覆盖材料选用、供应商管控、运输仓储、产业链协同的全流程低碳管控体系，明确建设单位、施工单位、供应商、运输仓储服务方等各参与方的减碳职责与工作界面。</w:t>
      </w:r>
    </w:p>
    <w:p w14:paraId="0FAAEE24">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6.1</w:t>
      </w:r>
      <w:r>
        <w:rPr>
          <w:rFonts w:hint="eastAsia" w:ascii="Times New Roman" w:hAnsi="Times New Roman" w:eastAsia="Times New Roman" w:cs="Times New Roman"/>
          <w:b/>
          <w:bCs/>
          <w:sz w:val="24"/>
          <w:szCs w:val="24"/>
        </w:rPr>
        <w:t>.2    施工</w:t>
      </w:r>
      <w:r>
        <w:rPr>
          <w:rFonts w:hint="eastAsia" w:ascii="宋体" w:hAnsi="宋体" w:eastAsia="宋体" w:cs="宋体"/>
          <w:sz w:val="24"/>
          <w:szCs w:val="24"/>
        </w:rPr>
        <w:t>单位应作为供应链低碳管控的实施主体，搭建供应链低碳信息共享平台，整合建材碳排放、供应商绩效、运输轨迹、仓储能耗、回收利用等数据，实现供应链管理数字化与可视化。</w:t>
      </w:r>
    </w:p>
    <w:p w14:paraId="60D3311F">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6.1</w:t>
      </w:r>
      <w:r>
        <w:rPr>
          <w:rFonts w:hint="eastAsia" w:ascii="Times New Roman" w:hAnsi="Times New Roman" w:eastAsia="Times New Roman" w:cs="Times New Roman"/>
          <w:b/>
          <w:bCs/>
          <w:sz w:val="24"/>
          <w:szCs w:val="24"/>
        </w:rPr>
        <w:t xml:space="preserve">.3    </w:t>
      </w:r>
      <w:r>
        <w:rPr>
          <w:rFonts w:hint="eastAsia" w:ascii="宋体" w:hAnsi="宋体" w:eastAsia="宋体" w:cs="宋体"/>
          <w:sz w:val="24"/>
          <w:szCs w:val="24"/>
        </w:rPr>
        <w:t>供应链管理应遵循本地优先、低碳准入、动态管控、协同减碳、可追溯可核算的原则，严禁使用国家明令淘汰的高耗能的建材或工艺，优先选用再生、可循环、绿色建材。</w:t>
      </w:r>
    </w:p>
    <w:p w14:paraId="758DAA99">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6.1</w:t>
      </w:r>
      <w:r>
        <w:rPr>
          <w:rFonts w:hint="eastAsia" w:ascii="Times New Roman" w:hAnsi="Times New Roman" w:eastAsia="Times New Roman" w:cs="Times New Roman"/>
          <w:b/>
          <w:bCs/>
          <w:sz w:val="24"/>
          <w:szCs w:val="24"/>
        </w:rPr>
        <w:t xml:space="preserve">.4    </w:t>
      </w:r>
      <w:r>
        <w:rPr>
          <w:rFonts w:hint="eastAsia" w:ascii="宋体" w:hAnsi="宋体" w:eastAsia="宋体" w:cs="宋体"/>
          <w:sz w:val="24"/>
          <w:szCs w:val="24"/>
        </w:rPr>
        <w:t>跨区域采购建材时，应实施碳抵消机制，额外碳排放宜通过购买林业碳汇、增加项目可再生能源应用比例等方式抵消，碳抵消比例不应超过供应链总碳排放的</w:t>
      </w:r>
      <w:r>
        <w:rPr>
          <w:rFonts w:hint="eastAsia" w:ascii="Times New Roman" w:hAnsi="Times New Roman" w:eastAsia="宋体" w:cs="Times New Roman"/>
          <w:sz w:val="24"/>
          <w:szCs w:val="24"/>
          <w:lang w:val="en-US" w:eastAsia="zh-CN"/>
        </w:rPr>
        <w:t xml:space="preserve"> 10%</w:t>
      </w:r>
      <w:r>
        <w:rPr>
          <w:rFonts w:hint="eastAsia" w:ascii="宋体" w:hAnsi="宋体" w:eastAsia="宋体" w:cs="宋体"/>
          <w:sz w:val="24"/>
          <w:szCs w:val="24"/>
        </w:rPr>
        <w:t>。</w:t>
      </w:r>
    </w:p>
    <w:p w14:paraId="19131755">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6.1</w:t>
      </w:r>
      <w:r>
        <w:rPr>
          <w:rFonts w:hint="eastAsia" w:ascii="Times New Roman" w:hAnsi="Times New Roman" w:eastAsia="Times New Roman" w:cs="Times New Roman"/>
          <w:b/>
          <w:bCs/>
          <w:sz w:val="24"/>
          <w:szCs w:val="24"/>
        </w:rPr>
        <w:t xml:space="preserve">.5    </w:t>
      </w:r>
      <w:r>
        <w:rPr>
          <w:rFonts w:hint="eastAsia" w:ascii="宋体" w:hAnsi="宋体" w:eastAsia="宋体" w:cs="宋体"/>
          <w:sz w:val="24"/>
          <w:szCs w:val="24"/>
        </w:rPr>
        <w:t>供应链各环节应开展碳排放核算与管控，核算方法应符合《建筑碳排放计算标准》（GB/T 51366-2019）的规定，碳排放管控目标应纳入施工单位零碳施工专项方案。</w:t>
      </w:r>
    </w:p>
    <w:p w14:paraId="63AF9F06">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6.1</w:t>
      </w:r>
      <w:r>
        <w:rPr>
          <w:rFonts w:hint="eastAsia" w:ascii="Times New Roman" w:hAnsi="Times New Roman" w:eastAsia="Times New Roman" w:cs="Times New Roman"/>
          <w:b/>
          <w:bCs/>
          <w:sz w:val="24"/>
          <w:szCs w:val="24"/>
        </w:rPr>
        <w:t xml:space="preserve">.6    </w:t>
      </w:r>
      <w:r>
        <w:rPr>
          <w:rFonts w:hint="eastAsia" w:ascii="宋体" w:hAnsi="宋体" w:eastAsia="宋体" w:cs="宋体"/>
          <w:sz w:val="24"/>
          <w:szCs w:val="24"/>
        </w:rPr>
        <w:t>供应链管理的全流程应建立完整、可追溯的台账，包括建材采购、供应商评价、运输仓储、回收利用等环节，台账留存时间应满足低碳建造评估与项目验收要求。</w:t>
      </w:r>
    </w:p>
    <w:p w14:paraId="5884A8F1">
      <w:pPr>
        <w:spacing w:before="184" w:line="313" w:lineRule="auto"/>
        <w:ind w:left="23" w:right="13" w:firstLine="476"/>
        <w:rPr>
          <w:rFonts w:hint="eastAsia" w:ascii="宋体" w:hAnsi="宋体" w:eastAsia="宋体" w:cs="宋体"/>
          <w:sz w:val="24"/>
          <w:szCs w:val="24"/>
        </w:rPr>
      </w:pPr>
    </w:p>
    <w:p w14:paraId="7CB6A712">
      <w:pPr>
        <w:spacing w:before="92" w:line="222" w:lineRule="auto"/>
        <w:ind w:left="3178"/>
        <w:outlineLvl w:val="1"/>
        <w:rPr>
          <w:rFonts w:hint="eastAsia" w:ascii="黑体" w:hAnsi="黑体" w:eastAsia="黑体" w:cs="黑体"/>
          <w:b/>
          <w:bCs/>
          <w:spacing w:val="-5"/>
          <w:sz w:val="28"/>
          <w:szCs w:val="28"/>
        </w:rPr>
      </w:pPr>
      <w:bookmarkStart w:id="37" w:name="_Toc9687"/>
      <w:r>
        <w:rPr>
          <w:rFonts w:hint="eastAsia" w:ascii="黑体" w:hAnsi="黑体" w:eastAsia="黑体" w:cs="黑体"/>
          <w:b/>
          <w:bCs/>
          <w:spacing w:val="-5"/>
          <w:sz w:val="24"/>
          <w:szCs w:val="24"/>
          <w:lang w:eastAsia="zh-CN"/>
        </w:rPr>
        <w:t>6.2</w:t>
      </w:r>
      <w:r>
        <w:rPr>
          <w:rFonts w:ascii="黑体" w:hAnsi="黑体" w:eastAsia="黑体" w:cs="黑体"/>
          <w:spacing w:val="113"/>
          <w:sz w:val="24"/>
          <w:szCs w:val="24"/>
        </w:rPr>
        <w:t xml:space="preserve"> </w:t>
      </w:r>
      <w:r>
        <w:rPr>
          <w:rFonts w:hint="eastAsia" w:ascii="黑体" w:hAnsi="黑体" w:eastAsia="黑体" w:cs="黑体"/>
          <w:b/>
          <w:bCs/>
          <w:spacing w:val="-5"/>
          <w:sz w:val="28"/>
          <w:szCs w:val="28"/>
        </w:rPr>
        <w:t>材料管理</w:t>
      </w:r>
      <w:bookmarkEnd w:id="37"/>
    </w:p>
    <w:p w14:paraId="094B2013">
      <w:pPr>
        <w:bidi w:val="0"/>
        <w:rPr>
          <w:rFonts w:hint="eastAsia"/>
        </w:rPr>
      </w:pPr>
    </w:p>
    <w:p w14:paraId="6EA6B034">
      <w:pPr>
        <w:spacing w:before="78" w:line="219" w:lineRule="auto"/>
        <w:ind w:left="22"/>
        <w:rPr>
          <w:rFonts w:ascii="宋体" w:hAnsi="宋体" w:eastAsia="宋体" w:cs="宋体"/>
          <w:sz w:val="24"/>
          <w:szCs w:val="24"/>
        </w:rPr>
      </w:pPr>
      <w:r>
        <w:rPr>
          <w:rFonts w:hint="eastAsia" w:ascii="Times New Roman" w:hAnsi="Times New Roman" w:eastAsia="宋体" w:cs="Times New Roman"/>
          <w:b/>
          <w:bCs/>
          <w:sz w:val="24"/>
          <w:szCs w:val="24"/>
          <w:lang w:eastAsia="zh-CN"/>
        </w:rPr>
        <w:t>6.2</w:t>
      </w:r>
      <w:r>
        <w:rPr>
          <w:rFonts w:ascii="Times New Roman" w:hAnsi="Times New Roman" w:eastAsia="Times New Roman" w:cs="Times New Roman"/>
          <w:b/>
          <w:bCs/>
          <w:sz w:val="24"/>
          <w:szCs w:val="24"/>
        </w:rPr>
        <w:t xml:space="preserve">.1    </w:t>
      </w:r>
      <w:r>
        <w:rPr>
          <w:rFonts w:hint="eastAsia" w:ascii="宋体" w:hAnsi="宋体" w:eastAsia="宋体" w:cs="宋体"/>
          <w:sz w:val="24"/>
          <w:szCs w:val="24"/>
        </w:rPr>
        <w:t>低碳建材准入应符合下列规定</w:t>
      </w:r>
      <w:r>
        <w:rPr>
          <w:rFonts w:ascii="宋体" w:hAnsi="宋体" w:eastAsia="宋体" w:cs="宋体"/>
          <w:spacing w:val="-1"/>
          <w:sz w:val="24"/>
          <w:szCs w:val="24"/>
        </w:rPr>
        <w:t>：</w:t>
      </w:r>
    </w:p>
    <w:p w14:paraId="5734970C">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1    </w:t>
      </w:r>
      <w:r>
        <w:rPr>
          <w:rFonts w:hint="eastAsia" w:ascii="宋体" w:hAnsi="宋体" w:eastAsia="宋体" w:cs="宋体"/>
          <w:sz w:val="24"/>
          <w:szCs w:val="24"/>
        </w:rPr>
        <w:t>所有进场建材应提供第三方机构认证的碳标签评价标识、环境产品声明或碳足迹报告，建材性能应同时满足建筑设计要求；</w:t>
      </w:r>
    </w:p>
    <w:p w14:paraId="782CD6B8">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2    </w:t>
      </w:r>
      <w:r>
        <w:rPr>
          <w:rFonts w:hint="eastAsia" w:ascii="宋体" w:hAnsi="宋体" w:eastAsia="宋体" w:cs="宋体"/>
          <w:sz w:val="24"/>
          <w:szCs w:val="24"/>
        </w:rPr>
        <w:t>禁止使用国家明令淘汰的高耗能建材，鼓励选用再生骨料混凝土、再生钢材、再生塑料管材等再生建材；</w:t>
      </w:r>
    </w:p>
    <w:p w14:paraId="7A76D7BF">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3    </w:t>
      </w:r>
      <w:r>
        <w:rPr>
          <w:rFonts w:hint="eastAsia" w:ascii="宋体" w:hAnsi="宋体" w:eastAsia="宋体" w:cs="宋体"/>
          <w:sz w:val="24"/>
          <w:szCs w:val="24"/>
        </w:rPr>
        <w:t>主体结构材料的绿色建材认证标识比例不应低于60%，低碳可再生混凝土在非承重部位的应用替代率不应低于30%；</w:t>
      </w:r>
    </w:p>
    <w:p w14:paraId="7DA7FF37">
      <w:pPr>
        <w:spacing w:before="183" w:line="290" w:lineRule="auto"/>
        <w:ind w:left="23" w:right="35" w:hanging="1"/>
        <w:rPr>
          <w:rFonts w:hint="eastAsia" w:ascii="宋体" w:hAnsi="宋体" w:eastAsia="宋体" w:cs="宋体"/>
          <w:spacing w:val="-2"/>
          <w:sz w:val="24"/>
          <w:szCs w:val="24"/>
        </w:rPr>
      </w:pPr>
      <w:r>
        <w:rPr>
          <w:rFonts w:hint="eastAsia" w:ascii="Times New Roman" w:hAnsi="Times New Roman" w:eastAsia="宋体" w:cs="Times New Roman"/>
          <w:b/>
          <w:bCs/>
          <w:spacing w:val="-2"/>
          <w:sz w:val="24"/>
          <w:szCs w:val="24"/>
          <w:lang w:eastAsia="zh-CN"/>
        </w:rPr>
        <w:t>6.2</w:t>
      </w:r>
      <w:r>
        <w:rPr>
          <w:rFonts w:ascii="Times New Roman" w:hAnsi="Times New Roman" w:eastAsia="Times New Roman" w:cs="Times New Roman"/>
          <w:b/>
          <w:bCs/>
          <w:spacing w:val="-2"/>
          <w:sz w:val="24"/>
          <w:szCs w:val="24"/>
        </w:rPr>
        <w:t xml:space="preserve">.2    </w:t>
      </w:r>
      <w:r>
        <w:rPr>
          <w:rFonts w:hint="eastAsia" w:ascii="宋体" w:hAnsi="宋体" w:eastAsia="宋体" w:cs="宋体"/>
          <w:spacing w:val="-2"/>
          <w:sz w:val="24"/>
          <w:szCs w:val="24"/>
        </w:rPr>
        <w:t>本地材料优先采购应符合下列规定：</w:t>
      </w:r>
    </w:p>
    <w:p w14:paraId="1B18FB70">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1    </w:t>
      </w:r>
      <w:r>
        <w:rPr>
          <w:rFonts w:hint="eastAsia" w:ascii="宋体" w:hAnsi="宋体" w:eastAsia="宋体" w:cs="宋体"/>
          <w:sz w:val="24"/>
          <w:szCs w:val="24"/>
        </w:rPr>
        <w:t>应建立本地建材供应商名录，名录范围宜为施工场地半径</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50km</w:t>
      </w:r>
      <w:r>
        <w:rPr>
          <w:rFonts w:hint="eastAsia" w:ascii="Times New Roman" w:hAnsi="Times New Roman" w:eastAsia="宋体" w:cs="Times New Roman"/>
          <w:sz w:val="24"/>
          <w:szCs w:val="24"/>
          <w:lang w:val="en-US" w:eastAsia="zh-CN"/>
        </w:rPr>
        <w:t xml:space="preserve"> </w:t>
      </w:r>
      <w:r>
        <w:rPr>
          <w:rFonts w:hint="eastAsia" w:ascii="宋体" w:hAnsi="宋体" w:eastAsia="宋体" w:cs="宋体"/>
          <w:sz w:val="24"/>
          <w:szCs w:val="24"/>
        </w:rPr>
        <w:t>内；砂石、水泥、砌块等大宗建材本地采购比例不应低于</w:t>
      </w:r>
      <w:r>
        <w:rPr>
          <w:rFonts w:hint="eastAsia" w:ascii="Times New Roman" w:hAnsi="Times New Roman" w:eastAsia="宋体" w:cs="Times New Roman"/>
          <w:sz w:val="24"/>
          <w:szCs w:val="24"/>
          <w:lang w:val="en-US" w:eastAsia="zh-CN"/>
        </w:rPr>
        <w:t xml:space="preserve"> 80%</w:t>
      </w:r>
      <w:r>
        <w:rPr>
          <w:rFonts w:hint="eastAsia" w:ascii="宋体" w:hAnsi="宋体" w:eastAsia="宋体" w:cs="宋体"/>
          <w:sz w:val="24"/>
          <w:szCs w:val="24"/>
        </w:rPr>
        <w:t>，保温材料、门窗等加工类建材本地采购比例不应低于</w:t>
      </w:r>
      <w:r>
        <w:rPr>
          <w:rFonts w:hint="eastAsia" w:ascii="Times New Roman" w:hAnsi="Times New Roman" w:eastAsia="宋体" w:cs="Times New Roman"/>
          <w:sz w:val="24"/>
          <w:szCs w:val="24"/>
          <w:lang w:val="en-US" w:eastAsia="zh-CN"/>
        </w:rPr>
        <w:t xml:space="preserve"> 60%</w:t>
      </w:r>
      <w:r>
        <w:rPr>
          <w:rFonts w:hint="eastAsia" w:ascii="宋体" w:hAnsi="宋体" w:eastAsia="宋体" w:cs="宋体"/>
          <w:sz w:val="24"/>
          <w:szCs w:val="24"/>
        </w:rPr>
        <w:t>；</w:t>
      </w:r>
    </w:p>
    <w:p w14:paraId="6976D81E">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2    </w:t>
      </w:r>
      <w:r>
        <w:rPr>
          <w:rFonts w:hint="eastAsia" w:ascii="宋体" w:hAnsi="宋体" w:eastAsia="宋体" w:cs="宋体"/>
          <w:sz w:val="24"/>
          <w:szCs w:val="24"/>
        </w:rPr>
        <w:t>500km 以内生产的建材重量占项目所有建材总重量的比例，低碳建筑不应低于</w:t>
      </w:r>
      <w:r>
        <w:rPr>
          <w:rFonts w:hint="default" w:ascii="Times New Roman" w:hAnsi="Times New Roman" w:eastAsia="宋体" w:cs="Times New Roman"/>
          <w:sz w:val="24"/>
          <w:szCs w:val="24"/>
        </w:rPr>
        <w:t xml:space="preserve"> 65%</w:t>
      </w:r>
      <w:r>
        <w:rPr>
          <w:rFonts w:hint="eastAsia" w:ascii="宋体" w:hAnsi="宋体" w:eastAsia="宋体" w:cs="宋体"/>
          <w:sz w:val="24"/>
          <w:szCs w:val="24"/>
        </w:rPr>
        <w:t>，近零碳建筑不应低于</w:t>
      </w:r>
      <w:r>
        <w:rPr>
          <w:rFonts w:hint="eastAsia" w:ascii="Times New Roman" w:hAnsi="Times New Roman" w:eastAsia="宋体" w:cs="Times New Roman"/>
          <w:sz w:val="24"/>
          <w:szCs w:val="24"/>
        </w:rPr>
        <w:t xml:space="preserve"> 75%</w:t>
      </w:r>
      <w:r>
        <w:rPr>
          <w:rFonts w:hint="eastAsia" w:ascii="宋体" w:hAnsi="宋体" w:eastAsia="宋体" w:cs="宋体"/>
          <w:sz w:val="24"/>
          <w:szCs w:val="24"/>
        </w:rPr>
        <w:t>，零碳建筑不应</w:t>
      </w:r>
      <w:r>
        <w:rPr>
          <w:rFonts w:hint="eastAsia" w:ascii="Times New Roman" w:hAnsi="Times New Roman" w:eastAsia="宋体" w:cs="Times New Roman"/>
          <w:sz w:val="24"/>
          <w:szCs w:val="24"/>
        </w:rPr>
        <w:t>低于 80%</w:t>
      </w:r>
      <w:r>
        <w:rPr>
          <w:rFonts w:hint="eastAsia" w:ascii="宋体" w:hAnsi="宋体" w:eastAsia="宋体" w:cs="宋体"/>
          <w:sz w:val="24"/>
          <w:szCs w:val="24"/>
        </w:rPr>
        <w:t>；</w:t>
      </w:r>
    </w:p>
    <w:p w14:paraId="34159B56">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3    </w:t>
      </w:r>
      <w:r>
        <w:rPr>
          <w:rFonts w:hint="eastAsia" w:ascii="宋体" w:hAnsi="宋体" w:eastAsia="宋体" w:cs="宋体"/>
          <w:sz w:val="24"/>
          <w:szCs w:val="24"/>
        </w:rPr>
        <w:t>若本地无符合要求的低碳建材，应对异地采购建材开展碳平衡评估，并通过增加可再生能源应用、提高回收利用率等方式抵消额外运输碳排放；</w:t>
      </w:r>
    </w:p>
    <w:p w14:paraId="56EA7A8F">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宋体" w:cs="Times New Roman"/>
          <w:b/>
          <w:bCs/>
          <w:sz w:val="24"/>
          <w:szCs w:val="24"/>
          <w:lang w:eastAsia="zh-CN"/>
        </w:rPr>
        <w:t>6.2</w:t>
      </w:r>
      <w:r>
        <w:rPr>
          <w:rFonts w:ascii="Times New Roman" w:hAnsi="Times New Roman" w:eastAsia="Times New Roman" w:cs="Times New Roman"/>
          <w:b/>
          <w:bCs/>
          <w:sz w:val="24"/>
          <w:szCs w:val="24"/>
        </w:rPr>
        <w:t xml:space="preserve">.3    </w:t>
      </w:r>
      <w:r>
        <w:rPr>
          <w:rFonts w:hint="eastAsia" w:ascii="宋体" w:hAnsi="宋体" w:eastAsia="宋体" w:cs="宋体"/>
          <w:sz w:val="24"/>
          <w:szCs w:val="24"/>
        </w:rPr>
        <w:t>建材选用应符合下列要求：</w:t>
      </w:r>
    </w:p>
    <w:p w14:paraId="6AAB6D83">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1    </w:t>
      </w:r>
      <w:r>
        <w:rPr>
          <w:rFonts w:hint="eastAsia" w:ascii="宋体" w:hAnsi="宋体" w:eastAsia="宋体" w:cs="宋体"/>
          <w:sz w:val="24"/>
          <w:szCs w:val="24"/>
        </w:rPr>
        <w:t>现浇混凝土应采用预拌混凝土，建筑砂浆应采用预拌砂浆；建筑装修宜选用工业化内装部品并提高应用比例；</w:t>
      </w:r>
    </w:p>
    <w:p w14:paraId="00862190">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2    </w:t>
      </w:r>
      <w:r>
        <w:rPr>
          <w:rFonts w:hint="eastAsia" w:ascii="宋体" w:hAnsi="宋体" w:eastAsia="宋体" w:cs="宋体"/>
          <w:sz w:val="24"/>
          <w:szCs w:val="24"/>
        </w:rPr>
        <w:t>应按绿色低碳建材筛选原则选用建材、设备，绿色建材或低碳建材使用量不宜低于</w:t>
      </w:r>
      <w:r>
        <w:rPr>
          <w:rFonts w:hint="eastAsia" w:ascii="Times New Roman" w:hAnsi="Times New Roman" w:eastAsia="宋体" w:cs="Times New Roman"/>
          <w:sz w:val="24"/>
          <w:szCs w:val="24"/>
          <w:lang w:val="en-US" w:eastAsia="zh-CN"/>
        </w:rPr>
        <w:t xml:space="preserve"> 6</w:t>
      </w:r>
      <w:r>
        <w:rPr>
          <w:rFonts w:hint="eastAsia" w:ascii="Times New Roman" w:hAnsi="Times New Roman" w:eastAsia="宋体" w:cs="Times New Roman"/>
          <w:sz w:val="24"/>
          <w:szCs w:val="24"/>
        </w:rPr>
        <w:t>0%</w:t>
      </w:r>
      <w:r>
        <w:rPr>
          <w:rFonts w:hint="eastAsia" w:ascii="宋体" w:hAnsi="宋体" w:eastAsia="宋体" w:cs="宋体"/>
          <w:sz w:val="24"/>
          <w:szCs w:val="24"/>
        </w:rPr>
        <w:t>；</w:t>
      </w:r>
    </w:p>
    <w:p w14:paraId="66DE0DB4">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3    </w:t>
      </w:r>
      <w:r>
        <w:rPr>
          <w:rFonts w:hint="eastAsia" w:ascii="宋体" w:hAnsi="宋体" w:eastAsia="宋体" w:cs="宋体"/>
          <w:sz w:val="24"/>
          <w:szCs w:val="24"/>
        </w:rPr>
        <w:t>住宅建筑的低价值、可再循环、可回收再利用或固碳材料用量比例不宜低于</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10%，公共建筑不宜低于</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15%</w:t>
      </w:r>
      <w:r>
        <w:rPr>
          <w:rFonts w:hint="eastAsia" w:ascii="宋体" w:hAnsi="宋体" w:eastAsia="宋体" w:cs="宋体"/>
          <w:sz w:val="24"/>
          <w:szCs w:val="24"/>
        </w:rPr>
        <w:t>；</w:t>
      </w:r>
    </w:p>
    <w:p w14:paraId="5B05C7A7">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rPr>
        <w:t xml:space="preserve">4    </w:t>
      </w:r>
      <w:r>
        <w:rPr>
          <w:rFonts w:hint="eastAsia" w:ascii="宋体" w:hAnsi="宋体" w:eastAsia="宋体" w:cs="宋体"/>
          <w:sz w:val="24"/>
          <w:szCs w:val="24"/>
        </w:rPr>
        <w:t>宜采用一种及以上利废建材，其占同类建材的用量比例不应低于</w:t>
      </w:r>
      <w:r>
        <w:rPr>
          <w:rFonts w:hint="eastAsia" w:ascii="Times New Roman" w:hAnsi="Times New Roman" w:eastAsia="宋体" w:cs="Times New Roman"/>
          <w:sz w:val="24"/>
          <w:szCs w:val="24"/>
          <w:lang w:val="en-US" w:eastAsia="zh-CN"/>
        </w:rPr>
        <w:t xml:space="preserve"> 50%</w:t>
      </w:r>
      <w:r>
        <w:rPr>
          <w:rFonts w:hint="eastAsia" w:ascii="宋体" w:hAnsi="宋体" w:eastAsia="宋体" w:cs="宋体"/>
          <w:sz w:val="24"/>
          <w:szCs w:val="24"/>
        </w:rPr>
        <w:t>；或选用两种及以上利废建材，每种占同类建材的用量比例均不应低于</w:t>
      </w:r>
      <w:r>
        <w:rPr>
          <w:rFonts w:hint="eastAsia" w:ascii="Times New Roman" w:hAnsi="Times New Roman" w:eastAsia="宋体" w:cs="Times New Roman"/>
          <w:sz w:val="24"/>
          <w:szCs w:val="24"/>
          <w:lang w:val="en-US" w:eastAsia="zh-CN"/>
        </w:rPr>
        <w:t xml:space="preserve"> 30%</w:t>
      </w:r>
      <w:r>
        <w:rPr>
          <w:rFonts w:hint="eastAsia" w:ascii="宋体" w:hAnsi="宋体" w:eastAsia="宋体" w:cs="宋体"/>
          <w:sz w:val="24"/>
          <w:szCs w:val="24"/>
        </w:rPr>
        <w:t>；</w:t>
      </w:r>
    </w:p>
    <w:p w14:paraId="15305A55">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6.2.4   </w:t>
      </w:r>
      <w:r>
        <w:rPr>
          <w:rFonts w:hint="eastAsia" w:ascii="宋体" w:hAnsi="宋体" w:eastAsia="宋体" w:cs="宋体"/>
          <w:sz w:val="24"/>
          <w:szCs w:val="24"/>
          <w:lang w:val="en-US" w:eastAsia="zh-CN"/>
        </w:rPr>
        <w:t>主要建材损耗宜比定额损耗率低</w:t>
      </w:r>
      <w:r>
        <w:rPr>
          <w:rFonts w:hint="eastAsia" w:ascii="Times New Roman" w:hAnsi="Times New Roman" w:eastAsia="宋体" w:cs="Times New Roman"/>
          <w:sz w:val="24"/>
          <w:szCs w:val="24"/>
          <w:lang w:val="en-US" w:eastAsia="zh-CN"/>
        </w:rPr>
        <w:t xml:space="preserve"> 30% </w:t>
      </w:r>
      <w:r>
        <w:rPr>
          <w:rFonts w:hint="eastAsia" w:ascii="宋体" w:hAnsi="宋体" w:eastAsia="宋体" w:cs="宋体"/>
          <w:sz w:val="24"/>
          <w:szCs w:val="24"/>
          <w:lang w:val="en-US" w:eastAsia="zh-CN"/>
        </w:rPr>
        <w:t>以上。</w:t>
      </w:r>
    </w:p>
    <w:p w14:paraId="79902D10">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6.2.5   </w:t>
      </w:r>
      <w:r>
        <w:rPr>
          <w:rFonts w:hint="eastAsia" w:ascii="宋体" w:hAnsi="宋体" w:eastAsia="宋体" w:cs="宋体"/>
          <w:sz w:val="24"/>
          <w:szCs w:val="24"/>
          <w:lang w:val="en-US" w:eastAsia="zh-CN"/>
        </w:rPr>
        <w:t>材料管理台账应符合下列规定：</w:t>
      </w:r>
    </w:p>
    <w:p w14:paraId="1369E343">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1   </w:t>
      </w:r>
      <w:r>
        <w:rPr>
          <w:rFonts w:hint="eastAsia" w:ascii="宋体" w:hAnsi="宋体" w:eastAsia="宋体" w:cs="宋体"/>
          <w:sz w:val="24"/>
          <w:szCs w:val="24"/>
          <w:lang w:val="en-US" w:eastAsia="zh-CN"/>
        </w:rPr>
        <w:t>建材、设备的采购、进出场、库存保管、流通使用、回收利用均应建立台账，台账内容应完整、准确、可追溯；</w:t>
      </w:r>
    </w:p>
    <w:p w14:paraId="2382887E">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2   </w:t>
      </w:r>
      <w:r>
        <w:rPr>
          <w:rFonts w:hint="eastAsia" w:ascii="宋体" w:hAnsi="宋体" w:eastAsia="宋体" w:cs="宋体"/>
          <w:sz w:val="24"/>
          <w:szCs w:val="24"/>
          <w:lang w:val="en-US" w:eastAsia="zh-CN"/>
        </w:rPr>
        <w:t>应结合施工低碳或零碳目标对工程施工图进行碳排放影响因素分析、评估与计算，明确碳排放重点管控的建材与设备并形成清单；</w:t>
      </w:r>
    </w:p>
    <w:p w14:paraId="2503692E">
      <w:pPr>
        <w:spacing w:before="184" w:line="313" w:lineRule="auto"/>
        <w:ind w:left="23" w:right="13" w:firstLine="476"/>
        <w:rPr>
          <w:color w:val="000000"/>
          <w:sz w:val="24"/>
          <w:szCs w:val="24"/>
        </w:rPr>
      </w:pPr>
      <w:r>
        <w:rPr>
          <w:rFonts w:hint="eastAsia" w:ascii="Times New Roman" w:hAnsi="Times New Roman" w:eastAsia="Times New Roman" w:cs="Times New Roman"/>
          <w:b/>
          <w:bCs/>
          <w:sz w:val="24"/>
          <w:szCs w:val="24"/>
          <w:lang w:val="en-US" w:eastAsia="zh-CN"/>
        </w:rPr>
        <w:t xml:space="preserve">3   </w:t>
      </w:r>
      <w:r>
        <w:rPr>
          <w:rFonts w:hint="eastAsia" w:ascii="宋体" w:hAnsi="宋体" w:eastAsia="宋体" w:cs="宋体"/>
          <w:sz w:val="24"/>
          <w:szCs w:val="24"/>
          <w:lang w:val="en-US" w:eastAsia="zh-CN"/>
        </w:rPr>
        <w:t>制定采购计划时，应在建材与设备采购相关文件中纳入明确的碳排放目标。</w:t>
      </w:r>
    </w:p>
    <w:p w14:paraId="559B4F15">
      <w:pPr>
        <w:spacing w:before="184" w:line="313" w:lineRule="auto"/>
        <w:ind w:left="23" w:right="13" w:firstLine="476"/>
        <w:rPr>
          <w:rFonts w:hint="eastAsia" w:ascii="宋体" w:hAnsi="宋体" w:eastAsia="宋体" w:cs="宋体"/>
          <w:sz w:val="24"/>
          <w:szCs w:val="24"/>
        </w:rPr>
      </w:pPr>
    </w:p>
    <w:p w14:paraId="399EE1B3">
      <w:pPr>
        <w:pStyle w:val="7"/>
        <w:spacing w:line="458" w:lineRule="auto"/>
      </w:pPr>
    </w:p>
    <w:p w14:paraId="41032221">
      <w:pPr>
        <w:spacing w:before="92" w:line="224" w:lineRule="auto"/>
        <w:ind w:left="3109"/>
        <w:outlineLvl w:val="1"/>
        <w:rPr>
          <w:rFonts w:ascii="黑体" w:hAnsi="黑体" w:eastAsia="黑体" w:cs="黑体"/>
          <w:sz w:val="28"/>
          <w:szCs w:val="28"/>
        </w:rPr>
      </w:pPr>
      <w:bookmarkStart w:id="38" w:name="_Toc9614"/>
      <w:r>
        <w:rPr>
          <w:rFonts w:hint="eastAsia" w:ascii="黑体" w:hAnsi="黑体" w:eastAsia="黑体" w:cs="黑体"/>
          <w:b/>
          <w:bCs/>
          <w:spacing w:val="-6"/>
          <w:sz w:val="24"/>
          <w:szCs w:val="24"/>
          <w:lang w:eastAsia="zh-CN"/>
        </w:rPr>
        <w:t>6.3</w:t>
      </w:r>
      <w:r>
        <w:rPr>
          <w:rFonts w:ascii="黑体" w:hAnsi="黑体" w:eastAsia="黑体" w:cs="黑体"/>
          <w:spacing w:val="106"/>
          <w:sz w:val="24"/>
          <w:szCs w:val="24"/>
        </w:rPr>
        <w:t xml:space="preserve"> </w:t>
      </w:r>
      <w:r>
        <w:rPr>
          <w:rFonts w:hint="eastAsia" w:ascii="黑体" w:hAnsi="黑体" w:eastAsia="黑体" w:cs="黑体"/>
          <w:b/>
          <w:bCs/>
          <w:spacing w:val="-6"/>
          <w:sz w:val="28"/>
          <w:szCs w:val="28"/>
        </w:rPr>
        <w:t>供应商</w:t>
      </w:r>
      <w:r>
        <w:rPr>
          <w:rFonts w:ascii="黑体" w:hAnsi="黑体" w:eastAsia="黑体" w:cs="黑体"/>
          <w:b/>
          <w:bCs/>
          <w:spacing w:val="-6"/>
          <w:sz w:val="28"/>
          <w:szCs w:val="28"/>
        </w:rPr>
        <w:t>管理</w:t>
      </w:r>
      <w:bookmarkEnd w:id="38"/>
    </w:p>
    <w:p w14:paraId="3AFECBF1">
      <w:pPr>
        <w:pStyle w:val="7"/>
        <w:spacing w:line="265" w:lineRule="auto"/>
      </w:pPr>
    </w:p>
    <w:p w14:paraId="4477347F">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宋体" w:cs="Times New Roman"/>
          <w:b/>
          <w:bCs/>
          <w:sz w:val="24"/>
          <w:szCs w:val="24"/>
          <w:lang w:eastAsia="zh-CN"/>
        </w:rPr>
        <w:t>6.3</w:t>
      </w:r>
      <w:r>
        <w:rPr>
          <w:rFonts w:ascii="Times New Roman" w:hAnsi="Times New Roman" w:eastAsia="Times New Roman" w:cs="Times New Roman"/>
          <w:b/>
          <w:bCs/>
          <w:sz w:val="24"/>
          <w:szCs w:val="24"/>
        </w:rPr>
        <w:t xml:space="preserve">.1    </w:t>
      </w:r>
      <w:r>
        <w:rPr>
          <w:rFonts w:hint="eastAsia" w:ascii="宋体" w:hAnsi="宋体" w:eastAsia="宋体" w:cs="宋体"/>
          <w:sz w:val="24"/>
          <w:szCs w:val="24"/>
          <w:lang w:val="en-US" w:eastAsia="zh-CN"/>
        </w:rPr>
        <w:t>低碳供应商准入机制应符合下列规定：</w:t>
      </w:r>
    </w:p>
    <w:p w14:paraId="558BCAEB">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1   </w:t>
      </w:r>
      <w:r>
        <w:rPr>
          <w:rFonts w:hint="eastAsia" w:ascii="宋体" w:hAnsi="宋体" w:eastAsia="宋体" w:cs="宋体"/>
          <w:sz w:val="24"/>
          <w:szCs w:val="24"/>
          <w:lang w:val="en-US" w:eastAsia="zh-CN"/>
        </w:rPr>
        <w:t>总承包单位应建立供应商低碳准入清单，供应商应提供绿色建材认证证书、建材全生命周期碳排放报告、生产环节节能降碳技术说明；</w:t>
      </w:r>
    </w:p>
    <w:p w14:paraId="295B333A">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2   </w:t>
      </w:r>
      <w:r>
        <w:rPr>
          <w:rFonts w:hint="eastAsia" w:ascii="宋体" w:hAnsi="宋体" w:eastAsia="宋体" w:cs="宋体"/>
          <w:sz w:val="24"/>
          <w:szCs w:val="24"/>
          <w:lang w:val="en-US" w:eastAsia="zh-CN"/>
        </w:rPr>
        <w:t>供应商生产环节的单位产品碳排放应较行业平均水平降低</w:t>
      </w:r>
      <w:r>
        <w:rPr>
          <w:rFonts w:hint="eastAsia" w:ascii="Times New Roman" w:hAnsi="Times New Roman" w:eastAsia="宋体" w:cs="Times New Roman"/>
          <w:sz w:val="24"/>
          <w:szCs w:val="24"/>
          <w:lang w:val="en-US" w:eastAsia="zh-CN"/>
        </w:rPr>
        <w:t xml:space="preserve"> 10% </w:t>
      </w:r>
      <w:r>
        <w:rPr>
          <w:rFonts w:hint="eastAsia" w:ascii="宋体" w:hAnsi="宋体" w:eastAsia="宋体" w:cs="宋体"/>
          <w:sz w:val="24"/>
          <w:szCs w:val="24"/>
          <w:lang w:val="en-US" w:eastAsia="zh-CN"/>
        </w:rPr>
        <w:t>以上，具备废水、废气、废渣处理达标证明，优先选用通过</w:t>
      </w:r>
      <w:r>
        <w:rPr>
          <w:rFonts w:hint="eastAsia" w:ascii="Times New Roman" w:hAnsi="Times New Roman" w:eastAsia="宋体" w:cs="Times New Roman"/>
          <w:sz w:val="24"/>
          <w:szCs w:val="24"/>
          <w:lang w:val="en-US" w:eastAsia="zh-CN"/>
        </w:rPr>
        <w:t xml:space="preserve"> ISO14064 </w:t>
      </w:r>
      <w:r>
        <w:rPr>
          <w:rFonts w:hint="eastAsia" w:ascii="宋体" w:hAnsi="宋体" w:eastAsia="宋体" w:cs="宋体"/>
          <w:sz w:val="24"/>
          <w:szCs w:val="24"/>
          <w:lang w:val="en-US" w:eastAsia="zh-CN"/>
        </w:rPr>
        <w:t>碳管理体系认证的供应商；</w:t>
      </w:r>
    </w:p>
    <w:p w14:paraId="56050387">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3   </w:t>
      </w:r>
      <w:r>
        <w:rPr>
          <w:rFonts w:hint="eastAsia" w:ascii="宋体" w:hAnsi="宋体" w:eastAsia="宋体" w:cs="宋体"/>
          <w:sz w:val="24"/>
          <w:szCs w:val="24"/>
          <w:lang w:val="en-US" w:eastAsia="zh-CN"/>
        </w:rPr>
        <w:t>对混凝土搅拌站、钢材厂、门窗加工厂等核心供应商应实行实地核查制度，核查生产设备能效、低碳技术应用、碳排放数据真实性，核查不合格的供应商不得纳入合作名录；</w:t>
      </w:r>
    </w:p>
    <w:p w14:paraId="33A85F21">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lang w:val="en-US" w:eastAsia="zh-CN"/>
        </w:rPr>
        <w:t xml:space="preserve">4   </w:t>
      </w:r>
      <w:r>
        <w:rPr>
          <w:rFonts w:hint="eastAsia" w:ascii="宋体" w:hAnsi="宋体" w:eastAsia="宋体" w:cs="宋体"/>
          <w:sz w:val="24"/>
          <w:szCs w:val="24"/>
          <w:lang w:val="en-US" w:eastAsia="zh-CN"/>
        </w:rPr>
        <w:t>施工前，总承包单位应协同设计单位、供应商共同评估建材隐含碳，确保材料选择、生产工艺与设计要求一致。</w:t>
      </w:r>
    </w:p>
    <w:p w14:paraId="30667B4C">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6.3.2   </w:t>
      </w:r>
      <w:r>
        <w:rPr>
          <w:rFonts w:hint="eastAsia" w:ascii="宋体" w:hAnsi="宋体" w:eastAsia="宋体" w:cs="宋体"/>
          <w:sz w:val="24"/>
          <w:szCs w:val="24"/>
          <w:lang w:val="en-US" w:eastAsia="zh-CN"/>
        </w:rPr>
        <w:t>供应商低碳绩效动态评估应符合下列规定：</w:t>
      </w:r>
    </w:p>
    <w:p w14:paraId="7215B113">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1   </w:t>
      </w:r>
      <w:r>
        <w:rPr>
          <w:rFonts w:hint="eastAsia" w:ascii="宋体" w:hAnsi="宋体" w:eastAsia="宋体" w:cs="宋体"/>
          <w:sz w:val="24"/>
          <w:szCs w:val="24"/>
          <w:lang w:val="en-US" w:eastAsia="zh-CN"/>
        </w:rPr>
        <w:t>应建立供应商低碳绩效评估体系，评估指标包括建材隐含碳排放强度、绿色生产占比、运输绿色化率、回收配合度等，每季度开展一次动态评估，每年进行一次综合评级；</w:t>
      </w:r>
    </w:p>
    <w:p w14:paraId="08F3EC44">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2   </w:t>
      </w:r>
      <w:r>
        <w:rPr>
          <w:rFonts w:hint="eastAsia" w:ascii="宋体" w:hAnsi="宋体" w:eastAsia="宋体" w:cs="宋体"/>
          <w:sz w:val="24"/>
          <w:szCs w:val="24"/>
          <w:lang w:val="en-US" w:eastAsia="zh-CN"/>
        </w:rPr>
        <w:t>实行优进劣出机制，评级不合格的供应商应暂停合作，限期</w:t>
      </w:r>
      <w:r>
        <w:rPr>
          <w:rFonts w:hint="eastAsia" w:ascii="Times New Roman" w:hAnsi="Times New Roman" w:eastAsia="宋体" w:cs="Times New Roman"/>
          <w:sz w:val="24"/>
          <w:szCs w:val="24"/>
          <w:lang w:val="en-US" w:eastAsia="zh-CN"/>
        </w:rPr>
        <w:t xml:space="preserve"> 3 </w:t>
      </w:r>
      <w:r>
        <w:rPr>
          <w:rFonts w:hint="eastAsia" w:ascii="宋体" w:hAnsi="宋体" w:eastAsia="宋体" w:cs="宋体"/>
          <w:sz w:val="24"/>
          <w:szCs w:val="24"/>
          <w:lang w:val="en-US" w:eastAsia="zh-CN"/>
        </w:rPr>
        <w:t>个月整改，整改仍不达标者应移出准入清单；</w:t>
      </w:r>
    </w:p>
    <w:p w14:paraId="0B2C057E">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6.3.3   </w:t>
      </w:r>
      <w:r>
        <w:rPr>
          <w:rFonts w:hint="eastAsia" w:ascii="宋体" w:hAnsi="宋体" w:eastAsia="宋体" w:cs="宋体"/>
          <w:sz w:val="24"/>
          <w:szCs w:val="24"/>
          <w:lang w:val="en-US" w:eastAsia="zh-CN"/>
        </w:rPr>
        <w:t>采购合同低碳条款约定应符合下列规定：</w:t>
      </w:r>
    </w:p>
    <w:p w14:paraId="77F19389">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1   </w:t>
      </w:r>
      <w:r>
        <w:rPr>
          <w:rFonts w:hint="eastAsia" w:ascii="宋体" w:hAnsi="宋体" w:eastAsia="宋体" w:cs="宋体"/>
          <w:sz w:val="24"/>
          <w:szCs w:val="24"/>
          <w:lang w:val="en-US" w:eastAsia="zh-CN"/>
        </w:rPr>
        <w:t>采购合同中应明确建材隐含碳排放强度限值，供应商应随货提供碳排放溯源报告，报告应包含生产批次、排放因子、核算边界等内容；</w:t>
      </w:r>
    </w:p>
    <w:p w14:paraId="382649CC">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2   </w:t>
      </w:r>
      <w:r>
        <w:rPr>
          <w:rFonts w:hint="eastAsia" w:ascii="宋体" w:hAnsi="宋体" w:eastAsia="宋体" w:cs="宋体"/>
          <w:sz w:val="24"/>
          <w:szCs w:val="24"/>
          <w:lang w:val="en-US" w:eastAsia="zh-CN"/>
        </w:rPr>
        <w:t>合同中应明确运输环节的绿色运输要求，供应商应采用新能源车辆、集中运输等绿色运输方式；</w:t>
      </w:r>
    </w:p>
    <w:p w14:paraId="6D162D2E">
      <w:pPr>
        <w:spacing w:before="184" w:line="313" w:lineRule="auto"/>
        <w:ind w:left="23" w:right="13" w:firstLine="476"/>
        <w:rPr>
          <w:rFonts w:hint="eastAsia" w:ascii="宋体" w:hAnsi="宋体" w:eastAsia="宋体" w:cs="宋体"/>
          <w:sz w:val="24"/>
          <w:szCs w:val="24"/>
        </w:rPr>
      </w:pPr>
      <w:r>
        <w:rPr>
          <w:rFonts w:hint="eastAsia" w:ascii="Times New Roman" w:hAnsi="Times New Roman" w:eastAsia="Times New Roman" w:cs="Times New Roman"/>
          <w:b/>
          <w:bCs/>
          <w:sz w:val="24"/>
          <w:szCs w:val="24"/>
          <w:lang w:val="en-US" w:eastAsia="zh-CN"/>
        </w:rPr>
        <w:t xml:space="preserve">3   </w:t>
      </w:r>
      <w:r>
        <w:rPr>
          <w:rFonts w:hint="eastAsia" w:ascii="宋体" w:hAnsi="宋体" w:eastAsia="宋体" w:cs="宋体"/>
          <w:sz w:val="24"/>
          <w:szCs w:val="24"/>
          <w:lang w:val="en-US" w:eastAsia="zh-CN"/>
        </w:rPr>
        <w:t>应约定低碳违约条款，若建材碳排放检测结果超出约定限值，供应商应承担整改费用并赔偿项目额外碳抵消成本。</w:t>
      </w:r>
    </w:p>
    <w:p w14:paraId="4E9D6A2E">
      <w:pPr>
        <w:spacing w:before="182" w:line="219" w:lineRule="auto"/>
        <w:ind w:left="22"/>
        <w:rPr>
          <w:rFonts w:ascii="宋体" w:hAnsi="宋体" w:eastAsia="宋体" w:cs="宋体"/>
          <w:sz w:val="24"/>
          <w:szCs w:val="24"/>
        </w:rPr>
      </w:pPr>
    </w:p>
    <w:p w14:paraId="39821634">
      <w:pPr>
        <w:pStyle w:val="7"/>
        <w:spacing w:line="270" w:lineRule="auto"/>
      </w:pPr>
    </w:p>
    <w:p w14:paraId="518598F0">
      <w:pPr>
        <w:spacing w:before="91" w:line="222" w:lineRule="auto"/>
        <w:ind w:left="3109"/>
        <w:outlineLvl w:val="1"/>
        <w:rPr>
          <w:rFonts w:ascii="黑体" w:hAnsi="黑体" w:eastAsia="黑体" w:cs="黑体"/>
          <w:sz w:val="28"/>
          <w:szCs w:val="28"/>
        </w:rPr>
      </w:pPr>
      <w:bookmarkStart w:id="39" w:name="_Toc7170"/>
      <w:r>
        <w:rPr>
          <w:rFonts w:hint="eastAsia" w:ascii="黑体" w:hAnsi="黑体" w:eastAsia="黑体" w:cs="黑体"/>
          <w:b/>
          <w:bCs/>
          <w:spacing w:val="-5"/>
          <w:sz w:val="24"/>
          <w:szCs w:val="24"/>
          <w:lang w:eastAsia="zh-CN"/>
        </w:rPr>
        <w:t>6.4</w:t>
      </w:r>
      <w:r>
        <w:rPr>
          <w:rFonts w:ascii="黑体" w:hAnsi="黑体" w:eastAsia="黑体" w:cs="黑体"/>
          <w:spacing w:val="104"/>
          <w:sz w:val="24"/>
          <w:szCs w:val="24"/>
        </w:rPr>
        <w:t xml:space="preserve"> </w:t>
      </w:r>
      <w:r>
        <w:rPr>
          <w:rFonts w:hint="eastAsia" w:ascii="黑体" w:hAnsi="黑体" w:eastAsia="黑体" w:cs="黑体"/>
          <w:b/>
          <w:bCs/>
          <w:spacing w:val="-5"/>
          <w:sz w:val="28"/>
          <w:szCs w:val="28"/>
        </w:rPr>
        <w:t>运输仓储</w:t>
      </w:r>
      <w:r>
        <w:rPr>
          <w:rFonts w:ascii="黑体" w:hAnsi="黑体" w:eastAsia="黑体" w:cs="黑体"/>
          <w:b/>
          <w:bCs/>
          <w:spacing w:val="-6"/>
          <w:sz w:val="28"/>
          <w:szCs w:val="28"/>
        </w:rPr>
        <w:t>管理</w:t>
      </w:r>
      <w:bookmarkEnd w:id="39"/>
    </w:p>
    <w:p w14:paraId="5EDF0306">
      <w:pPr>
        <w:pStyle w:val="7"/>
        <w:spacing w:line="460" w:lineRule="auto"/>
      </w:pPr>
    </w:p>
    <w:p w14:paraId="5BAD8E53">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宋体" w:cs="Times New Roman"/>
          <w:b/>
          <w:bCs/>
          <w:spacing w:val="-2"/>
          <w:sz w:val="24"/>
          <w:szCs w:val="24"/>
          <w:lang w:eastAsia="zh-CN"/>
        </w:rPr>
        <w:t>6.4</w:t>
      </w:r>
      <w:r>
        <w:rPr>
          <w:rFonts w:ascii="Times New Roman" w:hAnsi="Times New Roman" w:eastAsia="Times New Roman" w:cs="Times New Roman"/>
          <w:b/>
          <w:bCs/>
          <w:spacing w:val="-2"/>
          <w:sz w:val="24"/>
          <w:szCs w:val="24"/>
        </w:rPr>
        <w:t xml:space="preserve">.1    </w:t>
      </w:r>
      <w:r>
        <w:rPr>
          <w:rFonts w:hint="eastAsia" w:ascii="宋体" w:hAnsi="宋体" w:eastAsia="宋体" w:cs="宋体"/>
          <w:sz w:val="24"/>
          <w:szCs w:val="24"/>
          <w:lang w:val="en-US" w:eastAsia="zh-CN"/>
        </w:rPr>
        <w:t>大宗建材应优先采用新能源车辆或铁路、水路运输，新能源运输占比不应低于</w:t>
      </w:r>
      <w:r>
        <w:rPr>
          <w:rFonts w:hint="eastAsia" w:ascii="Times New Roman" w:hAnsi="Times New Roman" w:eastAsia="宋体" w:cs="Times New Roman"/>
          <w:sz w:val="24"/>
          <w:szCs w:val="24"/>
          <w:lang w:val="en-US" w:eastAsia="zh-CN"/>
        </w:rPr>
        <w:t xml:space="preserve"> 50%</w:t>
      </w:r>
      <w:r>
        <w:rPr>
          <w:rFonts w:hint="eastAsia" w:ascii="宋体" w:hAnsi="宋体" w:eastAsia="宋体" w:cs="宋体"/>
          <w:sz w:val="24"/>
          <w:szCs w:val="24"/>
          <w:lang w:val="en-US" w:eastAsia="zh-CN"/>
        </w:rPr>
        <w:t>；施工场地半径</w:t>
      </w:r>
      <w:r>
        <w:rPr>
          <w:rFonts w:hint="eastAsia" w:ascii="Times New Roman" w:hAnsi="Times New Roman" w:eastAsia="宋体" w:cs="Times New Roman"/>
          <w:sz w:val="24"/>
          <w:szCs w:val="24"/>
          <w:lang w:val="en-US" w:eastAsia="zh-CN"/>
        </w:rPr>
        <w:t xml:space="preserve"> 20km </w:t>
      </w:r>
      <w:r>
        <w:rPr>
          <w:rFonts w:hint="eastAsia" w:ascii="宋体" w:hAnsi="宋体" w:eastAsia="宋体" w:cs="宋体"/>
          <w:sz w:val="24"/>
          <w:szCs w:val="24"/>
          <w:lang w:val="en-US" w:eastAsia="zh-CN"/>
        </w:rPr>
        <w:t>内的短距离运输应采用电动货车，严禁使用国四及以下排放标准的燃油车辆。</w:t>
      </w:r>
    </w:p>
    <w:p w14:paraId="6A45EB41">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pacing w:val="-2"/>
          <w:sz w:val="24"/>
          <w:szCs w:val="24"/>
          <w:lang w:val="en-US" w:eastAsia="zh-CN"/>
        </w:rPr>
        <w:t xml:space="preserve">6.4.2   </w:t>
      </w:r>
      <w:r>
        <w:rPr>
          <w:rFonts w:hint="eastAsia" w:ascii="宋体" w:hAnsi="宋体" w:eastAsia="宋体" w:cs="宋体"/>
          <w:sz w:val="24"/>
          <w:szCs w:val="24"/>
          <w:lang w:val="en-US" w:eastAsia="zh-CN"/>
        </w:rPr>
        <w:t>应推行集中运输、统一配送模式，混凝土采用搅拌车集中配送，运输半径不应超过</w:t>
      </w:r>
      <w:r>
        <w:rPr>
          <w:rFonts w:hint="eastAsia" w:ascii="Times New Roman" w:hAnsi="Times New Roman" w:eastAsia="宋体" w:cs="Times New Roman"/>
          <w:sz w:val="24"/>
          <w:szCs w:val="24"/>
          <w:lang w:val="en-US" w:eastAsia="zh-CN"/>
        </w:rPr>
        <w:t xml:space="preserve"> 30km</w:t>
      </w:r>
      <w:r>
        <w:rPr>
          <w:rFonts w:hint="eastAsia" w:ascii="宋体" w:hAnsi="宋体" w:eastAsia="宋体" w:cs="宋体"/>
          <w:sz w:val="24"/>
          <w:szCs w:val="24"/>
          <w:lang w:val="en-US" w:eastAsia="zh-CN"/>
        </w:rPr>
        <w:t>；预制构件采用专用运输车辆，应最大化单次运输构件数量，减少运输次数；应对设备和原材料供应单位的包装物进行回收，减少过度包装产生的建筑垃圾。</w:t>
      </w:r>
    </w:p>
    <w:p w14:paraId="4E10CB09">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pacing w:val="-2"/>
          <w:sz w:val="24"/>
          <w:szCs w:val="24"/>
          <w:lang w:val="en-US" w:eastAsia="zh-CN"/>
        </w:rPr>
        <w:t xml:space="preserve">6.4.3   </w:t>
      </w:r>
      <w:r>
        <w:rPr>
          <w:rFonts w:hint="eastAsia" w:ascii="宋体" w:hAnsi="宋体" w:eastAsia="宋体" w:cs="宋体"/>
          <w:sz w:val="24"/>
          <w:szCs w:val="24"/>
          <w:lang w:val="en-US" w:eastAsia="zh-CN"/>
        </w:rPr>
        <w:t>运输过程中应采取防损耗措施，建材包装应采用可循环材料（如可折叠钢托盘、再生塑料包装），减少包装废弃物；易损耗建材（保温板、玻璃）应采用专用防护装置，运输损耗率应控制在</w:t>
      </w:r>
      <w:r>
        <w:rPr>
          <w:rFonts w:hint="eastAsia" w:ascii="Times New Roman" w:hAnsi="Times New Roman" w:eastAsia="宋体" w:cs="Times New Roman"/>
          <w:sz w:val="24"/>
          <w:szCs w:val="24"/>
          <w:lang w:val="en-US" w:eastAsia="zh-CN"/>
        </w:rPr>
        <w:t xml:space="preserve"> 1% </w:t>
      </w:r>
      <w:r>
        <w:rPr>
          <w:rFonts w:hint="eastAsia" w:ascii="宋体" w:hAnsi="宋体" w:eastAsia="宋体" w:cs="宋体"/>
          <w:sz w:val="24"/>
          <w:szCs w:val="24"/>
          <w:lang w:val="en-US" w:eastAsia="zh-CN"/>
        </w:rPr>
        <w:t>以内，避免二次采购导致的额外碳排放。</w:t>
      </w:r>
    </w:p>
    <w:p w14:paraId="5E1B7E60">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pacing w:val="-2"/>
          <w:sz w:val="24"/>
          <w:szCs w:val="24"/>
          <w:lang w:val="en-US" w:eastAsia="zh-CN"/>
        </w:rPr>
        <w:t xml:space="preserve">6.4.4   </w:t>
      </w:r>
      <w:r>
        <w:rPr>
          <w:rFonts w:hint="eastAsia" w:ascii="宋体" w:hAnsi="宋体" w:eastAsia="宋体" w:cs="宋体"/>
          <w:sz w:val="24"/>
          <w:szCs w:val="24"/>
          <w:lang w:val="en-US" w:eastAsia="zh-CN"/>
        </w:rPr>
        <w:t>仓储场地选址应靠近施工区域，距离不应大于</w:t>
      </w:r>
      <w:r>
        <w:rPr>
          <w:rFonts w:hint="eastAsia" w:ascii="Times New Roman" w:hAnsi="Times New Roman" w:eastAsia="宋体" w:cs="Times New Roman"/>
          <w:sz w:val="24"/>
          <w:szCs w:val="24"/>
          <w:lang w:val="en-US" w:eastAsia="zh-CN"/>
        </w:rPr>
        <w:t xml:space="preserve"> 5km</w:t>
      </w:r>
      <w:r>
        <w:rPr>
          <w:rFonts w:hint="eastAsia" w:ascii="宋体" w:hAnsi="宋体" w:eastAsia="宋体" w:cs="宋体"/>
          <w:sz w:val="24"/>
          <w:szCs w:val="24"/>
          <w:lang w:val="en-US" w:eastAsia="zh-CN"/>
        </w:rPr>
        <w:t>，减少二次转运距离；仓储设施应采用自然通风、天然采光设计，配备 LED 节能照明、变频通风设备，降低仓储能耗。</w:t>
      </w:r>
    </w:p>
    <w:p w14:paraId="4D412B79">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pacing w:val="-2"/>
          <w:sz w:val="24"/>
          <w:szCs w:val="24"/>
          <w:lang w:val="en-US" w:eastAsia="zh-CN"/>
        </w:rPr>
        <w:t xml:space="preserve">6.4.5   </w:t>
      </w:r>
      <w:r>
        <w:rPr>
          <w:rFonts w:hint="eastAsia" w:ascii="宋体" w:hAnsi="宋体" w:eastAsia="宋体" w:cs="宋体"/>
          <w:sz w:val="24"/>
          <w:szCs w:val="24"/>
          <w:lang w:val="en-US" w:eastAsia="zh-CN"/>
        </w:rPr>
        <w:t>建材堆放应符合下列规定：</w:t>
      </w:r>
    </w:p>
    <w:p w14:paraId="5C7BE335">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分类有序，保温材料、密封材料等怕潮建材应存放于防雨、防潮仓库，避免受潮变质；钢材、预制构件等金属材料应采用防锈处理，减少腐蚀浪费；应建立建材库存预警机制，按需采购，库存周转天数应控制在 30 天以内，避免积压导致的能耗与损耗。</w:t>
      </w:r>
    </w:p>
    <w:p w14:paraId="78648B18">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pacing w:val="-2"/>
          <w:sz w:val="24"/>
          <w:szCs w:val="24"/>
          <w:lang w:val="en-US" w:eastAsia="zh-CN"/>
        </w:rPr>
        <w:t xml:space="preserve">6.4.6   </w:t>
      </w:r>
      <w:r>
        <w:rPr>
          <w:rFonts w:hint="eastAsia" w:ascii="宋体" w:hAnsi="宋体" w:eastAsia="宋体" w:cs="宋体"/>
          <w:sz w:val="24"/>
          <w:szCs w:val="24"/>
          <w:lang w:val="en-US" w:eastAsia="zh-CN"/>
        </w:rPr>
        <w:t>仓储过程中应推行先进先出原则，优先使用早进场的建材，减少建材存放时间过长导致的性能衰减；对过期、损坏的建材，应按可回收类别分类处置，可再生建材回收率不应低于</w:t>
      </w:r>
      <w:r>
        <w:rPr>
          <w:rFonts w:hint="eastAsia" w:ascii="Times New Roman" w:hAnsi="Times New Roman" w:eastAsia="宋体" w:cs="Times New Roman"/>
          <w:sz w:val="24"/>
          <w:szCs w:val="24"/>
          <w:lang w:val="en-US" w:eastAsia="zh-CN"/>
        </w:rPr>
        <w:t xml:space="preserve"> 90%</w:t>
      </w:r>
      <w:r>
        <w:rPr>
          <w:rFonts w:hint="eastAsia" w:ascii="宋体" w:hAnsi="宋体" w:eastAsia="宋体" w:cs="宋体"/>
          <w:sz w:val="24"/>
          <w:szCs w:val="24"/>
          <w:lang w:val="en-US" w:eastAsia="zh-CN"/>
        </w:rPr>
        <w:t>。</w:t>
      </w:r>
    </w:p>
    <w:p w14:paraId="2B434656">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pacing w:val="-2"/>
          <w:sz w:val="24"/>
          <w:szCs w:val="24"/>
          <w:lang w:val="en-US" w:eastAsia="zh-CN"/>
        </w:rPr>
        <w:t xml:space="preserve">6.4.7   </w:t>
      </w:r>
      <w:r>
        <w:rPr>
          <w:rFonts w:hint="eastAsia" w:ascii="宋体" w:hAnsi="宋体" w:eastAsia="宋体" w:cs="宋体"/>
          <w:sz w:val="24"/>
          <w:szCs w:val="24"/>
          <w:lang w:val="en-US" w:eastAsia="zh-CN"/>
        </w:rPr>
        <w:t>供应商应记录每批次建材的运输方式、运输距离、运输车辆类型、仓储能耗等数据，并将数据纳入碳排放报告；总承包单位应按季度核算供应链运输仓储环节的碳排放，核算方法应符合《建筑碳排放计算标准》（GB/T 51366-2019）的规定。</w:t>
      </w:r>
    </w:p>
    <w:p w14:paraId="666D6500">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pacing w:val="-2"/>
          <w:sz w:val="24"/>
          <w:szCs w:val="24"/>
          <w:lang w:val="en-US" w:eastAsia="zh-CN"/>
        </w:rPr>
        <w:t xml:space="preserve">6.4.8   </w:t>
      </w:r>
      <w:r>
        <w:rPr>
          <w:rFonts w:hint="eastAsia" w:ascii="宋体" w:hAnsi="宋体" w:eastAsia="宋体" w:cs="宋体"/>
          <w:sz w:val="24"/>
          <w:szCs w:val="24"/>
          <w:lang w:val="en-US" w:eastAsia="zh-CN"/>
        </w:rPr>
        <w:t>若运输仓储碳排放超出预设预算，应及时优化运输方案或提高再生建材使用比例，确保供应链总碳排放不突破项目碳减排目标。</w:t>
      </w:r>
    </w:p>
    <w:p w14:paraId="27288680">
      <w:pPr>
        <w:spacing w:before="184" w:line="219" w:lineRule="auto"/>
        <w:ind w:left="500"/>
        <w:rPr>
          <w:rFonts w:ascii="宋体" w:hAnsi="宋体" w:eastAsia="宋体" w:cs="宋体"/>
          <w:sz w:val="24"/>
          <w:szCs w:val="24"/>
        </w:rPr>
      </w:pPr>
    </w:p>
    <w:p w14:paraId="59F3F177">
      <w:pPr>
        <w:pStyle w:val="7"/>
        <w:spacing w:line="281" w:lineRule="auto"/>
      </w:pPr>
    </w:p>
    <w:p w14:paraId="2D670D2D">
      <w:pPr>
        <w:pStyle w:val="7"/>
        <w:spacing w:line="281" w:lineRule="auto"/>
      </w:pPr>
    </w:p>
    <w:p w14:paraId="5E97EA61">
      <w:pPr>
        <w:spacing w:before="98" w:line="218" w:lineRule="auto"/>
        <w:ind w:left="2753"/>
        <w:outlineLvl w:val="0"/>
        <w:rPr>
          <w:rFonts w:hint="default" w:ascii="宋体" w:hAnsi="宋体" w:eastAsia="宋体" w:cs="宋体"/>
          <w:sz w:val="30"/>
          <w:szCs w:val="30"/>
          <w:lang w:val="en-US" w:eastAsia="zh-CN"/>
        </w:rPr>
      </w:pPr>
      <w:bookmarkStart w:id="40" w:name="_Toc30351"/>
      <w:r>
        <w:rPr>
          <w:rFonts w:hint="eastAsia" w:ascii="Times New Roman" w:hAnsi="Times New Roman" w:eastAsia="宋体" w:cs="Times New Roman"/>
          <w:b/>
          <w:bCs/>
          <w:spacing w:val="-4"/>
          <w:sz w:val="30"/>
          <w:szCs w:val="30"/>
          <w:lang w:val="en-US" w:eastAsia="zh-CN"/>
        </w:rPr>
        <w:t>7</w:t>
      </w:r>
      <w:r>
        <w:rPr>
          <w:rFonts w:ascii="Times New Roman" w:hAnsi="Times New Roman" w:eastAsia="Times New Roman" w:cs="Times New Roman"/>
          <w:b/>
          <w:bCs/>
          <w:spacing w:val="-4"/>
          <w:sz w:val="30"/>
          <w:szCs w:val="30"/>
        </w:rPr>
        <w:t xml:space="preserve">    </w:t>
      </w:r>
      <w:r>
        <w:rPr>
          <w:rFonts w:hint="eastAsia" w:ascii="宋体" w:hAnsi="宋体" w:eastAsia="宋体" w:cs="宋体"/>
          <w:b/>
          <w:bCs/>
          <w:spacing w:val="-4"/>
          <w:sz w:val="30"/>
          <w:szCs w:val="30"/>
        </w:rPr>
        <w:t>低碳建造评估</w:t>
      </w:r>
      <w:bookmarkEnd w:id="40"/>
      <w:r>
        <w:rPr>
          <w:rFonts w:hint="eastAsia" w:ascii="宋体" w:hAnsi="宋体" w:eastAsia="宋体" w:cs="宋体"/>
          <w:b/>
          <w:bCs/>
          <w:spacing w:val="-4"/>
          <w:sz w:val="30"/>
          <w:szCs w:val="30"/>
          <w:lang w:val="en-US" w:eastAsia="zh-CN"/>
        </w:rPr>
        <w:t xml:space="preserve"> </w:t>
      </w:r>
    </w:p>
    <w:p w14:paraId="39DC27A6">
      <w:pPr>
        <w:pStyle w:val="7"/>
        <w:spacing w:line="248" w:lineRule="auto"/>
      </w:pPr>
    </w:p>
    <w:p w14:paraId="43145409">
      <w:pPr>
        <w:pStyle w:val="7"/>
        <w:spacing w:line="248" w:lineRule="auto"/>
      </w:pPr>
    </w:p>
    <w:p w14:paraId="5DADECA3">
      <w:pPr>
        <w:spacing w:before="91" w:line="222" w:lineRule="auto"/>
        <w:ind w:left="3109"/>
        <w:outlineLvl w:val="1"/>
        <w:rPr>
          <w:rFonts w:hint="eastAsia" w:ascii="黑体" w:hAnsi="黑体" w:eastAsia="黑体" w:cs="黑体"/>
          <w:spacing w:val="-6"/>
          <w:sz w:val="28"/>
          <w:szCs w:val="28"/>
        </w:rPr>
      </w:pPr>
      <w:bookmarkStart w:id="41" w:name="_Toc4382"/>
      <w:r>
        <w:rPr>
          <w:rFonts w:hint="eastAsia" w:ascii="黑体" w:hAnsi="黑体" w:eastAsia="黑体" w:cs="黑体"/>
          <w:b/>
          <w:bCs/>
          <w:spacing w:val="-6"/>
          <w:sz w:val="24"/>
          <w:szCs w:val="24"/>
          <w:lang w:val="en-US" w:eastAsia="zh-CN"/>
        </w:rPr>
        <w:t>7.1</w:t>
      </w:r>
      <w:r>
        <w:rPr>
          <w:rFonts w:ascii="黑体" w:hAnsi="黑体" w:eastAsia="黑体" w:cs="黑体"/>
          <w:spacing w:val="115"/>
          <w:sz w:val="24"/>
          <w:szCs w:val="24"/>
        </w:rPr>
        <w:t xml:space="preserve"> </w:t>
      </w:r>
      <w:r>
        <w:rPr>
          <w:rFonts w:hint="eastAsia" w:ascii="黑体" w:hAnsi="黑体" w:eastAsia="黑体" w:cs="黑体"/>
          <w:spacing w:val="-6"/>
          <w:sz w:val="28"/>
          <w:szCs w:val="28"/>
        </w:rPr>
        <w:t>评估流程</w:t>
      </w:r>
      <w:bookmarkEnd w:id="41"/>
    </w:p>
    <w:p w14:paraId="013D0CE6">
      <w:pPr>
        <w:pStyle w:val="7"/>
        <w:spacing w:line="460" w:lineRule="auto"/>
      </w:pPr>
    </w:p>
    <w:p w14:paraId="3B554C45">
      <w:pPr>
        <w:bidi w:val="0"/>
        <w:spacing w:line="313" w:lineRule="auto"/>
        <w:ind w:left="23" w:right="13" w:firstLine="476"/>
        <w:rPr>
          <w:rFonts w:hint="eastAsia" w:ascii="宋体" w:hAnsi="宋体" w:eastAsia="宋体" w:cs="宋体"/>
          <w:sz w:val="24"/>
          <w:szCs w:val="24"/>
          <w:shd w:val="clear" w:color="auto" w:fill="auto"/>
          <w:lang w:val="en-US" w:eastAsia="zh-CN"/>
        </w:rPr>
      </w:pPr>
      <w:r>
        <w:rPr>
          <w:rFonts w:hint="default" w:ascii="Times New Roman" w:hAnsi="Times New Roman" w:eastAsia="Times New Roman" w:cs="Times New Roman"/>
          <w:b/>
          <w:bCs/>
          <w:sz w:val="24"/>
          <w:szCs w:val="24"/>
          <w:shd w:val="clear" w:color="auto" w:fill="auto"/>
          <w:lang w:eastAsia="zh-CN"/>
        </w:rPr>
        <w:t>7</w:t>
      </w:r>
      <w:r>
        <w:rPr>
          <w:rFonts w:hint="default" w:ascii="Times New Roman" w:hAnsi="Times New Roman" w:eastAsia="Times New Roman" w:cs="Times New Roman"/>
          <w:b/>
          <w:bCs/>
          <w:sz w:val="24"/>
          <w:szCs w:val="24"/>
          <w:shd w:val="clear" w:color="auto" w:fill="auto"/>
          <w:lang w:val="en-US" w:eastAsia="zh-CN"/>
        </w:rPr>
        <w:t>.1</w:t>
      </w:r>
      <w:r>
        <w:rPr>
          <w:rFonts w:hint="default" w:ascii="Times New Roman" w:hAnsi="Times New Roman" w:eastAsia="Times New Roman" w:cs="Times New Roman"/>
          <w:b/>
          <w:bCs/>
          <w:sz w:val="24"/>
          <w:szCs w:val="24"/>
          <w:shd w:val="clear" w:color="auto" w:fill="auto"/>
          <w:lang w:eastAsia="zh-CN"/>
        </w:rPr>
        <w:t xml:space="preserve">.1   </w:t>
      </w:r>
      <w:r>
        <w:rPr>
          <w:rFonts w:hint="eastAsia" w:ascii="宋体" w:hAnsi="宋体" w:eastAsia="宋体" w:cs="宋体"/>
          <w:b w:val="0"/>
          <w:bCs w:val="0"/>
          <w:sz w:val="24"/>
          <w:szCs w:val="24"/>
          <w:shd w:val="clear" w:color="auto" w:fill="auto"/>
          <w:lang w:eastAsia="zh-CN"/>
        </w:rPr>
        <w:t>评估筹备应明确评估对象、评估范围，收集项目施工方案、能源消耗台账、低碳技术应用资料、供应链管理档案等基础材料。</w:t>
      </w:r>
    </w:p>
    <w:p w14:paraId="22945585">
      <w:pPr>
        <w:spacing w:before="184" w:line="313" w:lineRule="auto"/>
        <w:ind w:left="23" w:right="13" w:firstLine="476"/>
        <w:rPr>
          <w:rFonts w:hint="eastAsia" w:ascii="宋体" w:hAnsi="宋体" w:eastAsia="宋体" w:cs="宋体"/>
          <w:b w:val="0"/>
          <w:bCs w:val="0"/>
          <w:sz w:val="24"/>
          <w:szCs w:val="24"/>
          <w:shd w:val="clear" w:color="auto" w:fill="auto"/>
          <w:lang w:val="en-US" w:eastAsia="zh-CN"/>
        </w:rPr>
      </w:pPr>
      <w:r>
        <w:rPr>
          <w:rFonts w:hint="default" w:ascii="Times New Roman" w:hAnsi="Times New Roman" w:eastAsia="Times New Roman" w:cs="Times New Roman"/>
          <w:b/>
          <w:bCs/>
          <w:sz w:val="24"/>
          <w:szCs w:val="24"/>
          <w:shd w:val="clear" w:color="auto" w:fill="auto"/>
          <w:lang w:eastAsia="zh-CN"/>
        </w:rPr>
        <w:t>7.1</w:t>
      </w:r>
      <w:r>
        <w:rPr>
          <w:rFonts w:hint="default" w:ascii="Times New Roman" w:hAnsi="Times New Roman" w:eastAsia="Times New Roman" w:cs="Times New Roman"/>
          <w:b/>
          <w:bCs/>
          <w:sz w:val="24"/>
          <w:szCs w:val="24"/>
          <w:shd w:val="clear" w:color="auto" w:fill="auto"/>
          <w:lang w:val="en-US" w:eastAsia="zh-CN"/>
        </w:rPr>
        <w:t>.2</w:t>
      </w:r>
      <w:r>
        <w:rPr>
          <w:rFonts w:hint="default" w:ascii="Times New Roman" w:hAnsi="Times New Roman" w:eastAsia="Times New Roman" w:cs="Times New Roman"/>
          <w:b/>
          <w:bCs/>
          <w:sz w:val="24"/>
          <w:szCs w:val="24"/>
          <w:shd w:val="clear" w:color="auto" w:fill="auto"/>
          <w:lang w:eastAsia="zh-CN"/>
        </w:rPr>
        <w:t xml:space="preserve">  </w:t>
      </w:r>
      <w:r>
        <w:rPr>
          <w:rFonts w:hint="eastAsia" w:ascii="宋体" w:hAnsi="宋体" w:eastAsia="宋体" w:cs="宋体"/>
          <w:b w:val="0"/>
          <w:bCs w:val="0"/>
          <w:sz w:val="24"/>
          <w:szCs w:val="24"/>
          <w:shd w:val="clear" w:color="auto" w:fill="auto"/>
          <w:lang w:val="en-US" w:eastAsia="zh-CN"/>
        </w:rPr>
        <w:t>现场核查应对高权重排放来源开展重点核查，抽查中低权重排放来源的管控及核算准确性；核查低碳施工技术、可再生能源、绿色建材的实际应用情况，比对现场实际与台账数据。</w:t>
      </w:r>
    </w:p>
    <w:p w14:paraId="708D47AF">
      <w:pPr>
        <w:spacing w:before="184" w:line="313" w:lineRule="auto"/>
        <w:ind w:left="23" w:right="13" w:firstLine="476"/>
        <w:rPr>
          <w:rFonts w:hint="eastAsia" w:ascii="宋体" w:hAnsi="宋体" w:eastAsia="宋体" w:cs="宋体"/>
          <w:b w:val="0"/>
          <w:bCs w:val="0"/>
          <w:sz w:val="24"/>
          <w:szCs w:val="24"/>
          <w:shd w:val="clear" w:color="auto" w:fill="auto"/>
          <w:lang w:val="en-US" w:eastAsia="zh-CN"/>
        </w:rPr>
      </w:pPr>
      <w:r>
        <w:rPr>
          <w:rFonts w:hint="default" w:ascii="Times New Roman" w:hAnsi="Times New Roman" w:eastAsia="宋体" w:cs="Times New Roman"/>
          <w:b/>
          <w:bCs/>
          <w:sz w:val="24"/>
          <w:szCs w:val="24"/>
          <w:shd w:val="clear" w:color="auto" w:fill="auto"/>
          <w:lang w:eastAsia="zh-CN"/>
        </w:rPr>
        <w:t xml:space="preserve">7.1.3   </w:t>
      </w:r>
      <w:r>
        <w:rPr>
          <w:rFonts w:hint="eastAsia" w:ascii="宋体" w:hAnsi="宋体" w:eastAsia="宋体" w:cs="宋体"/>
          <w:b w:val="0"/>
          <w:bCs w:val="0"/>
          <w:sz w:val="24"/>
          <w:szCs w:val="24"/>
          <w:shd w:val="clear" w:color="auto" w:fill="auto"/>
          <w:lang w:val="en-US" w:eastAsia="zh-CN"/>
        </w:rPr>
        <w:t>数据核算应按照排放因子法，核算各类排放来源的权重，数据核算应重点反映施工管理、施工技术及供应链管理相关排放占比，形成数据核查与核算报告。</w:t>
      </w:r>
    </w:p>
    <w:p w14:paraId="62F0082C">
      <w:pPr>
        <w:spacing w:before="184" w:line="313" w:lineRule="auto"/>
        <w:ind w:left="23" w:right="13" w:firstLine="476"/>
        <w:rPr>
          <w:rFonts w:hint="eastAsia" w:ascii="宋体" w:hAnsi="宋体" w:eastAsia="宋体" w:cs="宋体"/>
          <w:b w:val="0"/>
          <w:bCs w:val="0"/>
          <w:sz w:val="24"/>
          <w:szCs w:val="24"/>
          <w:shd w:val="clear" w:color="auto" w:fill="auto"/>
          <w:lang w:val="en-US" w:eastAsia="zh-CN"/>
        </w:rPr>
      </w:pPr>
      <w:r>
        <w:rPr>
          <w:rFonts w:hint="default" w:ascii="Times New Roman" w:hAnsi="Times New Roman" w:eastAsia="宋体" w:cs="Times New Roman"/>
          <w:b/>
          <w:bCs/>
          <w:sz w:val="24"/>
          <w:szCs w:val="24"/>
          <w:shd w:val="clear" w:color="auto" w:fill="auto"/>
          <w:lang w:eastAsia="zh-CN"/>
        </w:rPr>
        <w:t>7.1.4</w:t>
      </w:r>
      <w:r>
        <w:rPr>
          <w:rFonts w:hint="default" w:ascii="宋体" w:hAnsi="宋体" w:eastAsia="宋体" w:cs="宋体"/>
          <w:b w:val="0"/>
          <w:bCs w:val="0"/>
          <w:sz w:val="24"/>
          <w:szCs w:val="24"/>
          <w:shd w:val="clear" w:color="auto" w:fill="auto"/>
          <w:lang w:eastAsia="zh-CN"/>
        </w:rPr>
        <w:t xml:space="preserve">   </w:t>
      </w:r>
      <w:r>
        <w:rPr>
          <w:rFonts w:hint="eastAsia" w:ascii="宋体" w:hAnsi="宋体" w:eastAsia="宋体" w:cs="宋体"/>
          <w:b w:val="0"/>
          <w:bCs w:val="0"/>
          <w:sz w:val="24"/>
          <w:szCs w:val="24"/>
          <w:shd w:val="clear" w:color="auto" w:fill="auto"/>
          <w:lang w:val="en-US" w:eastAsia="zh-CN"/>
        </w:rPr>
        <w:t>等级初判应对照既定评估指标及评分标准，逐项打分，计算总分。依据总分，对照分级标准，判定项目评估等级，形成初步评估意见。</w:t>
      </w:r>
    </w:p>
    <w:p w14:paraId="67CEE169">
      <w:pPr>
        <w:spacing w:before="184" w:line="313" w:lineRule="auto"/>
        <w:ind w:left="23" w:right="13" w:firstLine="476"/>
        <w:rPr>
          <w:rFonts w:hint="eastAsia" w:ascii="宋体" w:hAnsi="宋体" w:eastAsia="宋体" w:cs="宋体"/>
          <w:b w:val="0"/>
          <w:bCs w:val="0"/>
          <w:sz w:val="24"/>
          <w:szCs w:val="24"/>
          <w:shd w:val="clear" w:color="auto" w:fill="auto"/>
          <w:lang w:val="en-US" w:eastAsia="zh-CN"/>
        </w:rPr>
      </w:pPr>
      <w:r>
        <w:rPr>
          <w:rFonts w:hint="default" w:ascii="Times New Roman" w:hAnsi="Times New Roman" w:eastAsia="Times New Roman" w:cs="Times New Roman"/>
          <w:b/>
          <w:bCs/>
          <w:sz w:val="24"/>
          <w:szCs w:val="24"/>
          <w:shd w:val="clear" w:color="auto" w:fill="auto"/>
          <w:lang w:eastAsia="zh-CN"/>
        </w:rPr>
        <w:t>7.1</w:t>
      </w:r>
      <w:r>
        <w:rPr>
          <w:rFonts w:hint="default" w:ascii="Times New Roman" w:hAnsi="Times New Roman" w:eastAsia="Times New Roman" w:cs="Times New Roman"/>
          <w:b/>
          <w:bCs/>
          <w:sz w:val="24"/>
          <w:szCs w:val="24"/>
          <w:shd w:val="clear" w:color="auto" w:fill="auto"/>
          <w:lang w:val="en-US" w:eastAsia="zh-CN"/>
        </w:rPr>
        <w:t>.5</w:t>
      </w:r>
      <w:r>
        <w:rPr>
          <w:rFonts w:hint="default" w:ascii="Times New Roman" w:hAnsi="Times New Roman" w:eastAsia="Times New Roman" w:cs="Times New Roman"/>
          <w:b/>
          <w:bCs/>
          <w:sz w:val="24"/>
          <w:szCs w:val="24"/>
          <w:shd w:val="clear" w:color="auto" w:fill="auto"/>
          <w:lang w:val="en-US" w:eastAsia="zh-CN"/>
        </w:rPr>
        <w:tab/>
      </w:r>
      <w:r>
        <w:rPr>
          <w:rFonts w:hint="default" w:ascii="Times New Roman" w:hAnsi="Times New Roman" w:eastAsia="Times New Roman" w:cs="Times New Roman"/>
          <w:b/>
          <w:bCs/>
          <w:sz w:val="24"/>
          <w:szCs w:val="24"/>
          <w:shd w:val="clear" w:color="auto" w:fill="auto"/>
          <w:lang w:eastAsia="zh-CN"/>
        </w:rPr>
        <w:t xml:space="preserve"> </w:t>
      </w:r>
      <w:r>
        <w:rPr>
          <w:rFonts w:hint="eastAsia" w:ascii="宋体" w:hAnsi="宋体" w:eastAsia="宋体" w:cs="宋体"/>
          <w:b w:val="0"/>
          <w:bCs w:val="0"/>
          <w:sz w:val="24"/>
          <w:szCs w:val="24"/>
          <w:shd w:val="clear" w:color="auto" w:fill="auto"/>
          <w:lang w:val="en-US" w:eastAsia="zh-CN"/>
        </w:rPr>
        <w:t>整改复核时应向施工单位反馈初步评估意见，明确达标情况，标注高权重排放相关问题，针对施工管理漏洞、施工措施不到位、供应链管控不足等问题提出针对性整改建议。</w:t>
      </w:r>
    </w:p>
    <w:p w14:paraId="6B81FF61">
      <w:pPr>
        <w:spacing w:before="184" w:line="313" w:lineRule="auto"/>
        <w:ind w:left="23" w:right="13" w:firstLine="476"/>
        <w:rPr>
          <w:rFonts w:hint="eastAsia" w:ascii="宋体" w:hAnsi="宋体" w:eastAsia="宋体" w:cs="宋体"/>
          <w:b w:val="0"/>
          <w:bCs w:val="0"/>
          <w:sz w:val="24"/>
          <w:szCs w:val="24"/>
          <w:shd w:val="clear" w:color="auto" w:fill="auto"/>
          <w:lang w:val="en-US" w:eastAsia="zh-CN"/>
        </w:rPr>
      </w:pPr>
      <w:r>
        <w:rPr>
          <w:rFonts w:hint="default" w:ascii="Times New Roman" w:hAnsi="Times New Roman" w:eastAsia="Times New Roman" w:cs="Times New Roman"/>
          <w:b/>
          <w:bCs/>
          <w:sz w:val="24"/>
          <w:szCs w:val="24"/>
          <w:shd w:val="clear" w:color="auto" w:fill="auto"/>
          <w:lang w:eastAsia="zh-CN"/>
        </w:rPr>
        <w:t>7.1</w:t>
      </w:r>
      <w:r>
        <w:rPr>
          <w:rFonts w:hint="default" w:ascii="Times New Roman" w:hAnsi="Times New Roman" w:eastAsia="Times New Roman" w:cs="Times New Roman"/>
          <w:b/>
          <w:bCs/>
          <w:sz w:val="24"/>
          <w:szCs w:val="24"/>
          <w:shd w:val="clear" w:color="auto" w:fill="auto"/>
          <w:lang w:val="en-US" w:eastAsia="zh-CN"/>
        </w:rPr>
        <w:t>.6</w:t>
      </w:r>
      <w:r>
        <w:rPr>
          <w:rFonts w:hint="default" w:ascii="Times New Roman" w:hAnsi="Times New Roman" w:eastAsia="Times New Roman" w:cs="Times New Roman"/>
          <w:b/>
          <w:bCs/>
          <w:sz w:val="24"/>
          <w:szCs w:val="24"/>
          <w:shd w:val="clear" w:color="auto" w:fill="auto"/>
          <w:lang w:eastAsia="zh-CN"/>
        </w:rPr>
        <w:t xml:space="preserve">  </w:t>
      </w:r>
      <w:r>
        <w:rPr>
          <w:rFonts w:hint="eastAsia" w:ascii="宋体" w:hAnsi="宋体" w:eastAsia="宋体" w:cs="宋体"/>
          <w:sz w:val="24"/>
          <w:szCs w:val="24"/>
          <w:shd w:val="clear" w:color="auto" w:fill="auto"/>
          <w:lang w:val="en-US" w:eastAsia="zh-CN"/>
        </w:rPr>
        <w:t>报告归档阶段应在整改复核通过后，编制正式评估报告，明确评估全流程信息、整改情况及施工管理与供应链管理相关指标的落实成效，留存纸质和电子版资料归档，作为项目验收、低碳认证的核心依据。</w:t>
      </w:r>
    </w:p>
    <w:p w14:paraId="1BD55A0B">
      <w:pPr>
        <w:pStyle w:val="7"/>
        <w:spacing w:line="461" w:lineRule="auto"/>
      </w:pPr>
    </w:p>
    <w:p w14:paraId="142D22C6">
      <w:pPr>
        <w:pStyle w:val="3"/>
      </w:pPr>
      <w:bookmarkStart w:id="42" w:name="_Toc22269"/>
      <w:r>
        <w:rPr>
          <w:rFonts w:hint="eastAsia" w:ascii="黑体" w:hAnsi="黑体" w:eastAsia="黑体" w:cs="黑体"/>
          <w:b/>
          <w:bCs/>
          <w:spacing w:val="-5"/>
          <w:sz w:val="24"/>
          <w:szCs w:val="24"/>
          <w:lang w:val="en-US" w:eastAsia="zh-CN"/>
        </w:rPr>
        <w:t>7.2</w:t>
      </w:r>
      <w:r>
        <w:rPr>
          <w:rFonts w:ascii="黑体" w:hAnsi="黑体" w:eastAsia="黑体" w:cs="黑体"/>
          <w:spacing w:val="113"/>
          <w:sz w:val="24"/>
          <w:szCs w:val="24"/>
        </w:rPr>
        <w:t xml:space="preserve"> </w:t>
      </w:r>
      <w:r>
        <w:rPr>
          <w:rFonts w:hint="eastAsia" w:ascii="黑体" w:hAnsi="黑体" w:eastAsia="黑体" w:cs="黑体"/>
          <w:spacing w:val="-6"/>
          <w:sz w:val="28"/>
          <w:szCs w:val="28"/>
        </w:rPr>
        <w:t>碳排放范围</w:t>
      </w:r>
      <w:bookmarkEnd w:id="42"/>
    </w:p>
    <w:p w14:paraId="11C68AF1">
      <w:pPr>
        <w:bidi w:val="0"/>
        <w:rPr>
          <w:rFonts w:hint="eastAsia" w:ascii="宋体" w:hAnsi="宋体" w:eastAsia="宋体" w:cs="宋体"/>
          <w:sz w:val="24"/>
          <w:szCs w:val="24"/>
        </w:rPr>
      </w:pPr>
      <w:r>
        <w:rPr>
          <w:rFonts w:hint="eastAsia" w:ascii="宋体" w:hAnsi="宋体" w:eastAsia="宋体" w:cs="宋体"/>
          <w:sz w:val="24"/>
          <w:szCs w:val="24"/>
          <w:lang w:eastAsia="zh-CN"/>
        </w:rPr>
        <w:t>7.2.1</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直接碳排放</w:t>
      </w:r>
    </w:p>
    <w:p w14:paraId="28D31FD0">
      <w:pPr>
        <w:spacing w:before="184" w:line="313" w:lineRule="auto"/>
        <w:ind w:left="23" w:right="13" w:firstLine="47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施工现场各类活动直接释放的 CO₂等温室气体，应通过现场设备监测、台账记录直接核算，作为施工阶段碳排放主要组成部分，主要包括：</w:t>
      </w:r>
    </w:p>
    <w:p w14:paraId="1A47A21D">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1  </w:t>
      </w:r>
      <w:r>
        <w:rPr>
          <w:rFonts w:hint="eastAsia" w:ascii="宋体" w:hAnsi="宋体" w:eastAsia="宋体" w:cs="宋体"/>
          <w:sz w:val="24"/>
          <w:szCs w:val="24"/>
          <w:lang w:val="en-US" w:eastAsia="zh-CN"/>
        </w:rPr>
        <w:t>施工设备碳排放：燃油/燃气施工机械（挖掘机、起重机等）运行产生的碳排放，重点统计非电动设备使用占比；</w:t>
      </w:r>
    </w:p>
    <w:p w14:paraId="308A97D0">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2  </w:t>
      </w:r>
      <w:r>
        <w:rPr>
          <w:rFonts w:hint="eastAsia" w:ascii="宋体" w:hAnsi="宋体" w:eastAsia="宋体" w:cs="宋体"/>
          <w:sz w:val="24"/>
          <w:szCs w:val="24"/>
          <w:lang w:val="en-US" w:eastAsia="zh-CN"/>
        </w:rPr>
        <w:t>现场作业碳排放：土方扰动、焊接切割、混凝土浇筑养护等作业产生的碳排放，关联施工措施中工艺选择对排放的影响；</w:t>
      </w:r>
    </w:p>
    <w:p w14:paraId="3F2241D3">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3  </w:t>
      </w:r>
      <w:r>
        <w:rPr>
          <w:rFonts w:hint="eastAsia" w:ascii="宋体" w:hAnsi="宋体" w:eastAsia="宋体" w:cs="宋体"/>
          <w:sz w:val="24"/>
          <w:szCs w:val="24"/>
          <w:lang w:val="en-US" w:eastAsia="zh-CN"/>
        </w:rPr>
        <w:t>临时设施碳排放：临时板房及办公宿舍区燃油取暖、燃气做饭等使用产生的碳排放，体现临时设施低碳设计与运营水平；</w:t>
      </w:r>
    </w:p>
    <w:p w14:paraId="247078C4">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4  </w:t>
      </w:r>
      <w:r>
        <w:rPr>
          <w:rFonts w:hint="eastAsia" w:ascii="宋体" w:hAnsi="宋体" w:eastAsia="宋体" w:cs="宋体"/>
          <w:sz w:val="24"/>
          <w:szCs w:val="24"/>
          <w:lang w:val="en-US" w:eastAsia="zh-CN"/>
        </w:rPr>
        <w:t>施工措施直接排放：扬尘控制、围挡搭建、现场保洁等辅助措施产生的碳排放，关联节能降碳施工工艺的应用效果；</w:t>
      </w:r>
    </w:p>
    <w:p w14:paraId="23568B81">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5  </w:t>
      </w:r>
      <w:r>
        <w:rPr>
          <w:rFonts w:hint="eastAsia" w:ascii="宋体" w:hAnsi="宋体" w:eastAsia="宋体" w:cs="宋体"/>
          <w:sz w:val="24"/>
          <w:szCs w:val="24"/>
          <w:lang w:val="en-US" w:eastAsia="zh-CN"/>
        </w:rPr>
        <w:t>供应链关联直接排放：建材运输过程中新能源车辆使用占比、运输距离等导致的直接碳排放，以及建材现场堆放破碎产生的零散直接排放。</w:t>
      </w:r>
    </w:p>
    <w:p w14:paraId="6CF4AB91">
      <w:pPr>
        <w:bidi w:val="0"/>
        <w:rPr>
          <w:rFonts w:hint="eastAsia" w:ascii="宋体" w:hAnsi="宋体" w:eastAsia="宋体" w:cs="宋体"/>
          <w:sz w:val="24"/>
          <w:szCs w:val="24"/>
          <w:lang w:eastAsia="zh-CN"/>
        </w:rPr>
      </w:pPr>
      <w:r>
        <w:rPr>
          <w:rFonts w:hint="default" w:ascii="宋体" w:hAnsi="宋体" w:eastAsia="宋体" w:cs="宋体"/>
          <w:sz w:val="24"/>
          <w:szCs w:val="24"/>
          <w:lang w:eastAsia="zh-CN"/>
        </w:rPr>
        <w:t>7.2.</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间</w:t>
      </w:r>
      <w:r>
        <w:rPr>
          <w:rFonts w:hint="eastAsia" w:ascii="宋体" w:hAnsi="宋体" w:eastAsia="宋体" w:cs="宋体"/>
          <w:sz w:val="24"/>
          <w:szCs w:val="24"/>
          <w:lang w:eastAsia="zh-CN"/>
        </w:rPr>
        <w:t>接碳排放</w:t>
      </w:r>
    </w:p>
    <w:p w14:paraId="50EAA537">
      <w:pPr>
        <w:spacing w:before="184" w:line="313" w:lineRule="auto"/>
        <w:ind w:left="23" w:right="13" w:firstLine="476"/>
        <w:rPr>
          <w:rFonts w:hint="eastAsia" w:ascii="宋体" w:hAnsi="宋体" w:eastAsia="宋体" w:cs="宋体"/>
          <w:sz w:val="24"/>
          <w:szCs w:val="24"/>
          <w:lang w:val="en-US" w:eastAsia="zh-CN"/>
        </w:rPr>
      </w:pPr>
      <w:r>
        <w:rPr>
          <w:rFonts w:hint="default" w:ascii="Times New Roman" w:hAnsi="Times New Roman" w:eastAsia="宋体" w:cs="Times New Roman"/>
          <w:b/>
          <w:bCs/>
          <w:sz w:val="24"/>
          <w:szCs w:val="24"/>
          <w:lang w:eastAsia="zh-CN"/>
        </w:rPr>
        <w:t xml:space="preserve">  </w:t>
      </w:r>
      <w:r>
        <w:rPr>
          <w:rFonts w:hint="eastAsia" w:ascii="宋体" w:hAnsi="宋体" w:eastAsia="宋体" w:cs="宋体"/>
          <w:sz w:val="24"/>
          <w:szCs w:val="24"/>
          <w:lang w:val="en-US" w:eastAsia="zh-CN"/>
        </w:rPr>
        <w:t>施工过程中外部能源消耗、第三方服务对应的间接碳排放，应凭消耗数据、排放因子间接核算，主要包括：</w:t>
      </w:r>
    </w:p>
    <w:p w14:paraId="4485B03C">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1  </w:t>
      </w:r>
      <w:r>
        <w:rPr>
          <w:rFonts w:hint="eastAsia" w:ascii="宋体" w:hAnsi="宋体" w:eastAsia="宋体" w:cs="宋体"/>
          <w:sz w:val="24"/>
          <w:szCs w:val="24"/>
          <w:lang w:val="en-US" w:eastAsia="zh-CN"/>
        </w:rPr>
        <w:t>电力消耗间接排放：现场临时用电、电动设备、办公用电等电网电力消耗产生的排放，关联施工管理中电动设备替代率及绿电使用情况；</w:t>
      </w:r>
    </w:p>
    <w:p w14:paraId="1DA3FABE">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2  </w:t>
      </w:r>
      <w:r>
        <w:rPr>
          <w:rFonts w:hint="eastAsia" w:ascii="宋体" w:hAnsi="宋体" w:eastAsia="宋体" w:cs="宋体"/>
          <w:sz w:val="24"/>
          <w:szCs w:val="24"/>
          <w:lang w:val="en-US" w:eastAsia="zh-CN"/>
        </w:rPr>
        <w:t>建材加工间接排放：钢筋切断、模板加工等现场加工消耗电、油产生的排放，体现施工措施中工厂预制、现场装配等工艺的落实效果；</w:t>
      </w:r>
    </w:p>
    <w:p w14:paraId="2A7C332B">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3  </w:t>
      </w:r>
      <w:r>
        <w:rPr>
          <w:rFonts w:hint="eastAsia" w:ascii="宋体" w:hAnsi="宋体" w:eastAsia="宋体" w:cs="宋体"/>
          <w:sz w:val="24"/>
          <w:szCs w:val="24"/>
          <w:lang w:val="en-US" w:eastAsia="zh-CN"/>
        </w:rPr>
        <w:t>施工措施间接排放：扬尘控制、节能施工等辅助措施关联外供能源、服务产生的排放，与低碳施工工艺选择直接相关；</w:t>
      </w:r>
    </w:p>
    <w:p w14:paraId="6F075D47">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4  </w:t>
      </w:r>
      <w:r>
        <w:rPr>
          <w:rFonts w:hint="eastAsia" w:ascii="宋体" w:hAnsi="宋体" w:eastAsia="宋体" w:cs="宋体"/>
          <w:sz w:val="24"/>
          <w:szCs w:val="24"/>
          <w:lang w:val="en-US" w:eastAsia="zh-CN"/>
        </w:rPr>
        <w:t>施工管理间接排放：现场巡查、办公管理消耗电、水等产生的排放，反映施工单位低碳管理体系运行成效；</w:t>
      </w:r>
    </w:p>
    <w:p w14:paraId="0CE4B571">
      <w:pPr>
        <w:spacing w:before="184" w:line="313" w:lineRule="auto"/>
        <w:ind w:left="23" w:right="13" w:firstLine="476"/>
        <w:rPr>
          <w:rFonts w:hint="eastAsia" w:ascii="宋体" w:hAnsi="宋体" w:eastAsia="宋体" w:cs="宋体"/>
          <w:sz w:val="24"/>
          <w:szCs w:val="24"/>
          <w:lang w:val="en-US" w:eastAsia="zh-CN"/>
        </w:rPr>
      </w:pPr>
      <w:r>
        <w:rPr>
          <w:rFonts w:hint="eastAsia" w:ascii="Times New Roman" w:hAnsi="Times New Roman" w:eastAsia="Times New Roman" w:cs="Times New Roman"/>
          <w:b/>
          <w:bCs/>
          <w:sz w:val="24"/>
          <w:szCs w:val="24"/>
          <w:lang w:val="en-US" w:eastAsia="zh-CN"/>
        </w:rPr>
        <w:t xml:space="preserve">5  </w:t>
      </w:r>
      <w:r>
        <w:rPr>
          <w:rFonts w:hint="eastAsia" w:ascii="宋体" w:hAnsi="宋体" w:eastAsia="宋体" w:cs="宋体"/>
          <w:sz w:val="24"/>
          <w:szCs w:val="24"/>
          <w:lang w:val="en-US" w:eastAsia="zh-CN"/>
        </w:rPr>
        <w:t>供应链关联间接排放：仓储过程中能耗产生的排放，以及建筑垃圾处置、设备租赁等第三方服务产生的排放。</w:t>
      </w:r>
    </w:p>
    <w:p w14:paraId="4F349173">
      <w:pPr>
        <w:pStyle w:val="7"/>
        <w:spacing w:line="281" w:lineRule="auto"/>
        <w:rPr>
          <w:rFonts w:hint="eastAsia" w:ascii="Times New Roman" w:hAnsi="Times New Roman" w:eastAsia="宋体" w:cs="Times New Roman"/>
          <w:b w:val="0"/>
          <w:bCs w:val="0"/>
          <w:sz w:val="24"/>
          <w:szCs w:val="24"/>
          <w:lang w:val="en-US" w:eastAsia="zh-CN"/>
        </w:rPr>
      </w:pPr>
    </w:p>
    <w:p w14:paraId="409F1085">
      <w:pPr>
        <w:spacing w:before="92" w:line="222" w:lineRule="auto"/>
        <w:ind w:left="3178"/>
        <w:outlineLvl w:val="1"/>
        <w:rPr>
          <w:rFonts w:hint="default" w:ascii="黑体" w:hAnsi="黑体" w:eastAsia="黑体" w:cs="黑体"/>
          <w:spacing w:val="-6"/>
          <w:sz w:val="28"/>
          <w:szCs w:val="28"/>
        </w:rPr>
      </w:pPr>
      <w:bookmarkStart w:id="43" w:name="_Toc18481"/>
      <w:r>
        <w:rPr>
          <w:rFonts w:hint="eastAsia" w:ascii="黑体" w:hAnsi="黑体" w:eastAsia="黑体" w:cs="黑体"/>
          <w:b/>
          <w:bCs/>
          <w:spacing w:val="-5"/>
          <w:sz w:val="24"/>
          <w:szCs w:val="24"/>
          <w:lang w:val="en-US" w:eastAsia="zh-CN"/>
        </w:rPr>
        <w:t>7.</w:t>
      </w:r>
      <w:r>
        <w:rPr>
          <w:rFonts w:hint="default" w:ascii="黑体" w:hAnsi="黑体" w:eastAsia="黑体" w:cs="黑体"/>
          <w:b/>
          <w:bCs/>
          <w:spacing w:val="-5"/>
          <w:sz w:val="24"/>
          <w:szCs w:val="24"/>
          <w:lang w:eastAsia="zh-CN"/>
        </w:rPr>
        <w:t>3</w:t>
      </w:r>
      <w:r>
        <w:rPr>
          <w:rFonts w:ascii="黑体" w:hAnsi="黑体" w:eastAsia="黑体" w:cs="黑体"/>
          <w:spacing w:val="113"/>
          <w:sz w:val="24"/>
          <w:szCs w:val="24"/>
        </w:rPr>
        <w:t xml:space="preserve"> </w:t>
      </w:r>
      <w:r>
        <w:rPr>
          <w:rFonts w:hint="eastAsia" w:ascii="黑体" w:hAnsi="黑体" w:eastAsia="黑体" w:cs="黑体"/>
          <w:spacing w:val="-6"/>
          <w:sz w:val="28"/>
          <w:szCs w:val="28"/>
        </w:rPr>
        <w:t>碳排放计算</w:t>
      </w:r>
      <w:bookmarkEnd w:id="43"/>
    </w:p>
    <w:p w14:paraId="369D347B">
      <w:pPr>
        <w:bidi w:val="0"/>
        <w:rPr>
          <w:rFonts w:hint="eastAsia"/>
          <w:lang w:val="en-US" w:eastAsia="zh-CN"/>
        </w:rPr>
      </w:pPr>
    </w:p>
    <w:p w14:paraId="2E704174">
      <w:pPr>
        <w:pStyle w:val="14"/>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rPr>
          <w:lang w:val="en-US" w:eastAsia="zh-CN"/>
        </w:rPr>
      </w:pPr>
      <w:r>
        <w:rPr>
          <w:rFonts w:hint="default" w:ascii="Times New Roman" w:hAnsi="Times New Roman" w:eastAsia="宋体" w:cs="Arial"/>
          <w:b/>
          <w:bCs/>
          <w:snapToGrid/>
          <w:color w:val="000000"/>
          <w:kern w:val="0"/>
          <w:sz w:val="24"/>
          <w:szCs w:val="21"/>
          <w:lang w:eastAsia="zh-CN" w:bidi="ar"/>
        </w:rPr>
        <w:t>7.3</w:t>
      </w:r>
      <w:r>
        <w:rPr>
          <w:rFonts w:hint="default" w:ascii="Times New Roman" w:hAnsi="Times New Roman" w:eastAsia="宋体" w:cs="Arial"/>
          <w:b/>
          <w:bCs/>
          <w:snapToGrid/>
          <w:color w:val="000000"/>
          <w:kern w:val="0"/>
          <w:sz w:val="24"/>
          <w:szCs w:val="21"/>
          <w:lang w:val="en-US" w:eastAsia="zh-CN" w:bidi="ar"/>
        </w:rPr>
        <w:t>.1</w:t>
      </w:r>
      <w:r>
        <w:rPr>
          <w:rFonts w:hint="default" w:ascii="Times New Roman" w:hAnsi="Times New Roman" w:eastAsia="宋体" w:cs="Arial"/>
          <w:b/>
          <w:bCs/>
          <w:snapToGrid/>
          <w:color w:val="000000"/>
          <w:kern w:val="0"/>
          <w:sz w:val="24"/>
          <w:szCs w:val="21"/>
          <w:lang w:eastAsia="zh-CN" w:bidi="ar"/>
        </w:rPr>
        <w:t xml:space="preserve">  </w:t>
      </w:r>
      <w:r>
        <w:rPr>
          <w:rFonts w:hint="default" w:ascii="宋体" w:hAnsi="宋体" w:eastAsia="宋体" w:cs="宋体"/>
          <w:snapToGrid w:val="0"/>
          <w:color w:val="000000"/>
          <w:kern w:val="0"/>
          <w:sz w:val="24"/>
          <w:szCs w:val="24"/>
          <w:lang w:val="en-US" w:eastAsia="zh-CN" w:bidi="ar-SA"/>
        </w:rPr>
        <w:t>碳排放计算应</w:t>
      </w:r>
      <w:r>
        <w:rPr>
          <w:rFonts w:hint="eastAsia" w:ascii="宋体" w:hAnsi="宋体" w:eastAsia="宋体" w:cs="宋体"/>
          <w:snapToGrid w:val="0"/>
          <w:color w:val="000000"/>
          <w:kern w:val="0"/>
          <w:sz w:val="24"/>
          <w:szCs w:val="24"/>
          <w:lang w:val="en-US" w:eastAsia="zh-CN" w:bidi="ar-SA"/>
        </w:rPr>
        <w:t>采用排放因子法核算施工阶段各类温室气体排放量，统一折算为二氧化碳当量kgCO2e；所有活动数据、排放因子、计算过程、凭证资料完整留存，满足第三方核查追溯要求，核算方法应符合《建筑碳排放计算标准》GB/T 51366 相关规定</w:t>
      </w:r>
      <w:r>
        <w:rPr>
          <w:rFonts w:hint="eastAsia" w:ascii="Times New Roman" w:hAnsi="Times New Roman" w:eastAsia="宋体" w:cs="宋体"/>
          <w:snapToGrid/>
          <w:color w:val="000000"/>
          <w:kern w:val="0"/>
          <w:sz w:val="24"/>
          <w:szCs w:val="21"/>
          <w:lang w:val="en-US" w:eastAsia="zh-CN" w:bidi="ar"/>
        </w:rPr>
        <w:t>。</w:t>
      </w:r>
    </w:p>
    <w:p w14:paraId="72358442">
      <w:pPr>
        <w:pStyle w:val="14"/>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rPr>
          <w:rFonts w:hint="default" w:ascii="Times New Roman" w:hAnsi="Times New Roman" w:eastAsia="宋体" w:cs="宋体"/>
          <w:snapToGrid/>
          <w:color w:val="000000"/>
          <w:kern w:val="0"/>
          <w:sz w:val="24"/>
          <w:szCs w:val="21"/>
          <w:lang w:eastAsia="zh-CN" w:bidi="ar"/>
        </w:rPr>
      </w:pPr>
      <w:r>
        <w:rPr>
          <w:rFonts w:hint="default" w:ascii="Times New Roman" w:hAnsi="Times New Roman" w:eastAsia="宋体" w:cs="Arial"/>
          <w:b/>
          <w:bCs/>
          <w:snapToGrid/>
          <w:color w:val="000000"/>
          <w:kern w:val="0"/>
          <w:sz w:val="24"/>
          <w:szCs w:val="21"/>
          <w:lang w:eastAsia="zh-CN" w:bidi="ar"/>
        </w:rPr>
        <w:t>7.3.2</w:t>
      </w:r>
      <w:r>
        <w:rPr>
          <w:rFonts w:hint="default" w:ascii="Times New Roman" w:hAnsi="Times New Roman" w:eastAsia="宋体" w:cs="Arial"/>
          <w:snapToGrid/>
          <w:color w:val="000000"/>
          <w:kern w:val="0"/>
          <w:sz w:val="24"/>
          <w:szCs w:val="21"/>
          <w:lang w:val="en-US" w:eastAsia="zh-CN" w:bidi="ar"/>
        </w:rPr>
        <w:tab/>
      </w:r>
      <w:bookmarkStart w:id="44" w:name="OLE_LINK14"/>
      <w:r>
        <w:rPr>
          <w:rFonts w:hint="eastAsia" w:ascii="Times New Roman" w:hAnsi="Times New Roman" w:eastAsia="宋体" w:cs="Arial"/>
          <w:snapToGrid/>
          <w:color w:val="000000"/>
          <w:kern w:val="0"/>
          <w:sz w:val="24"/>
          <w:szCs w:val="21"/>
          <w:lang w:val="en-US" w:eastAsia="zh-CN" w:bidi="ar"/>
        </w:rPr>
        <w:t xml:space="preserve"> </w:t>
      </w:r>
      <w:r>
        <w:rPr>
          <w:rFonts w:hint="eastAsia" w:ascii="Times New Roman" w:hAnsi="Times New Roman" w:eastAsia="宋体" w:cs="宋体"/>
          <w:snapToGrid/>
          <w:color w:val="000000"/>
          <w:kern w:val="0"/>
          <w:sz w:val="24"/>
          <w:szCs w:val="21"/>
          <w:lang w:val="en-US" w:eastAsia="zh-CN" w:bidi="ar"/>
        </w:rPr>
        <w:t>排放强度为单位核算基准的碳排放量，按排放类型分为直接、间接排放强度</w:t>
      </w:r>
      <w:r>
        <w:rPr>
          <w:rFonts w:hint="default" w:ascii="Times New Roman" w:hAnsi="Times New Roman" w:eastAsia="宋体" w:cs="宋体"/>
          <w:snapToGrid/>
          <w:color w:val="000000"/>
          <w:kern w:val="0"/>
          <w:sz w:val="24"/>
          <w:szCs w:val="21"/>
          <w:lang w:eastAsia="zh-CN" w:bidi="ar"/>
        </w:rPr>
        <w:t>。</w:t>
      </w:r>
    </w:p>
    <w:bookmarkEnd w:id="44"/>
    <w:p w14:paraId="7B8DA2D9">
      <w:pPr>
        <w:pStyle w:val="14"/>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rPr>
          <w:rFonts w:hint="eastAsia" w:ascii="Times New Roman" w:hAnsi="Times New Roman" w:eastAsia="宋体" w:cs="宋体"/>
          <w:snapToGrid/>
          <w:color w:val="000000"/>
          <w:kern w:val="0"/>
          <w:sz w:val="24"/>
          <w:szCs w:val="21"/>
          <w:lang w:val="en-US" w:eastAsia="zh-CN" w:bidi="ar"/>
        </w:rPr>
      </w:pPr>
      <w:r>
        <w:rPr>
          <w:rFonts w:hint="default" w:ascii="Times New Roman" w:hAnsi="Times New Roman" w:eastAsia="宋体" w:cs="Arial"/>
          <w:b/>
          <w:bCs/>
          <w:snapToGrid/>
          <w:color w:val="000000"/>
          <w:kern w:val="0"/>
          <w:sz w:val="24"/>
          <w:szCs w:val="21"/>
          <w:lang w:eastAsia="zh-CN" w:bidi="ar"/>
        </w:rPr>
        <w:t>7.3.3</w:t>
      </w:r>
      <w:r>
        <w:rPr>
          <w:rFonts w:hint="default" w:ascii="Times New Roman" w:hAnsi="Times New Roman" w:eastAsia="宋体" w:cs="Arial"/>
          <w:snapToGrid/>
          <w:color w:val="000000"/>
          <w:kern w:val="0"/>
          <w:sz w:val="24"/>
          <w:szCs w:val="21"/>
          <w:lang w:val="en-US" w:eastAsia="zh-CN" w:bidi="ar"/>
        </w:rPr>
        <w:tab/>
      </w:r>
      <w:r>
        <w:rPr>
          <w:rFonts w:hint="eastAsia" w:ascii="Times New Roman" w:hAnsi="Times New Roman" w:eastAsia="宋体" w:cs="Arial"/>
          <w:snapToGrid/>
          <w:color w:val="000000"/>
          <w:kern w:val="0"/>
          <w:sz w:val="24"/>
          <w:szCs w:val="21"/>
          <w:lang w:val="en-US" w:eastAsia="zh-CN" w:bidi="ar"/>
        </w:rPr>
        <w:t xml:space="preserve"> </w:t>
      </w:r>
      <w:r>
        <w:rPr>
          <w:rFonts w:hint="eastAsia" w:ascii="Times New Roman" w:hAnsi="Times New Roman" w:eastAsia="宋体" w:cs="宋体"/>
          <w:snapToGrid/>
          <w:color w:val="000000"/>
          <w:kern w:val="0"/>
          <w:sz w:val="24"/>
          <w:szCs w:val="21"/>
          <w:lang w:val="en-US" w:eastAsia="zh-CN" w:bidi="ar"/>
        </w:rPr>
        <w:t>各类碳排放源权重采用排放因子核算结果计算，用于校验核算完整性、识别高排放管控重点，权重计算应符合下列规定：</w:t>
      </w:r>
    </w:p>
    <w:p w14:paraId="58744888">
      <w:pPr>
        <w:numPr>
          <w:ilvl w:val="0"/>
          <w:numId w:val="1"/>
        </w:numPr>
        <w:spacing w:before="120" w:after="120" w:line="288" w:lineRule="auto"/>
        <w:ind w:left="0"/>
        <w:jc w:val="left"/>
      </w:pPr>
      <w:r>
        <w:rPr>
          <w:rFonts w:ascii="Arial" w:hAnsi="Arial" w:eastAsia="等线" w:cs="Arial"/>
          <w:sz w:val="22"/>
        </w:rPr>
        <w:t>单类碳排放源权重计算公式：</w:t>
      </w:r>
      <w:r>
        <w:rPr>
          <w:rFonts w:ascii="Arial" w:hAnsi="Arial" w:eastAsia="等线" w:cs="Arial"/>
          <w:sz w:val="22"/>
        </w:rPr>
        <w:br w:type="textWrapping"/>
      </w:r>
      <w:r>
        <w:rPr>
          <w:rFonts w:hint="eastAsia" w:eastAsia="等线" w:cs="Arial"/>
          <w:sz w:val="22"/>
          <w:lang w:val="en-US" w:eastAsia="zh-CN"/>
        </w:rPr>
        <w:t xml:space="preserve">      </w:t>
      </w:r>
      <m:oMath>
        <m:sSub>
          <m:sSubPr/>
          <m:e>
            <m:r>
              <m:rPr/>
              <w:rPr>
                <w:rFonts w:ascii="Cambria Math" w:hAnsi="Cambria Math"/>
              </w:rPr>
              <m:t>W</m:t>
            </m:r>
          </m:e>
          <m:sub>
            <m:r>
              <m:rPr>
                <m:sty m:val="p"/>
              </m:rPr>
              <w:rPr>
                <w:rFonts w:ascii="Cambria Math" w:hAnsi="Cambria Math"/>
              </w:rPr>
              <m:t>单类</m:t>
            </m:r>
            <m:r>
              <m:rPr/>
              <w:rPr>
                <w:rFonts w:ascii="Cambria Math" w:hAnsi="Cambria Math"/>
              </w:rPr>
              <m:t>,i</m:t>
            </m:r>
          </m:sub>
        </m:sSub>
        <m:r>
          <m:rPr/>
          <w:rPr>
            <w:rFonts w:ascii="Cambria Math" w:hAnsi="Cambria Math"/>
          </w:rPr>
          <m:t>=</m:t>
        </m:r>
        <m:f>
          <m:fPr/>
          <m:num>
            <m:sSub>
              <m:sSubPr/>
              <m:e>
                <m:r>
                  <m:rPr/>
                  <w:rPr>
                    <w:rFonts w:ascii="Cambria Math" w:hAnsi="Cambria Math"/>
                  </w:rPr>
                  <m:t>E</m:t>
                </m:r>
              </m:e>
              <m:sub>
                <m:r>
                  <m:rPr>
                    <m:sty m:val="p"/>
                  </m:rPr>
                  <w:rPr>
                    <w:rFonts w:ascii="Cambria Math" w:hAnsi="Cambria Math"/>
                  </w:rPr>
                  <m:t>单类</m:t>
                </m:r>
                <m:r>
                  <m:rPr/>
                  <w:rPr>
                    <w:rFonts w:ascii="Cambria Math" w:hAnsi="Cambria Math"/>
                  </w:rPr>
                  <m:t>,i</m:t>
                </m:r>
              </m:sub>
            </m:sSub>
          </m:num>
          <m:den>
            <m:sSub>
              <m:sSubPr/>
              <m:e>
                <m:r>
                  <m:rPr/>
                  <w:rPr>
                    <w:rFonts w:ascii="Cambria Math" w:hAnsi="Cambria Math"/>
                  </w:rPr>
                  <m:t>E</m:t>
                </m:r>
              </m:e>
              <m:sub>
                <m:r>
                  <m:rPr>
                    <m:sty m:val="p"/>
                  </m:rPr>
                  <w:rPr>
                    <w:rFonts w:ascii="Cambria Math" w:hAnsi="Cambria Math"/>
                  </w:rPr>
                  <m:t>总</m:t>
                </m:r>
              </m:sub>
            </m:sSub>
          </m:den>
        </m:f>
        <m:r>
          <m:rPr/>
          <w:rPr>
            <w:rFonts w:ascii="Cambria Math" w:hAnsi="Cambria Math"/>
          </w:rPr>
          <m:t>×100</m:t>
        </m:r>
      </m:oMath>
      <w:r>
        <w:rPr>
          <w:rFonts w:hint="eastAsia" w:hAnsi="Cambria Math" w:eastAsia="宋体"/>
          <w:i w:val="0"/>
          <w:lang w:val="en-US" w:eastAsia="zh-CN"/>
        </w:rPr>
        <w:t xml:space="preserve">     </w:t>
      </w:r>
      <w:r>
        <w:rPr>
          <w:rFonts w:ascii="Arial" w:hAnsi="Arial" w:eastAsia="等线" w:cs="Arial"/>
          <w:sz w:val="22"/>
        </w:rPr>
        <w:t>（7.3.3-1）</w:t>
      </w:r>
      <w:r>
        <w:rPr>
          <w:rFonts w:ascii="Arial" w:hAnsi="Arial" w:eastAsia="等线" w:cs="Arial"/>
          <w:sz w:val="22"/>
        </w:rPr>
        <w:br w:type="textWrapping"/>
      </w:r>
      <w:r>
        <w:rPr>
          <w:rFonts w:ascii="Arial" w:hAnsi="Arial" w:eastAsia="等线" w:cs="Arial"/>
          <w:sz w:val="22"/>
        </w:rPr>
        <w:t>式中：</w:t>
      </w:r>
      <w:r>
        <w:rPr>
          <w:rFonts w:ascii="Arial" w:hAnsi="Arial" w:eastAsia="等线" w:cs="Arial"/>
          <w:sz w:val="22"/>
        </w:rPr>
        <w:br w:type="textWrapping"/>
      </w:r>
      <m:oMath>
        <m:sSub>
          <m:sSubPr/>
          <m:e>
            <m:r>
              <m:rPr/>
              <w:rPr>
                <w:rFonts w:ascii="Cambria Math" w:hAnsi="Cambria Math"/>
              </w:rPr>
              <m:t>W</m:t>
            </m:r>
          </m:e>
          <m:sub>
            <m:r>
              <m:rPr>
                <m:sty m:val="p"/>
              </m:rPr>
              <w:rPr>
                <w:rFonts w:ascii="Cambria Math" w:hAnsi="Cambria Math"/>
              </w:rPr>
              <m:t>单类</m:t>
            </m:r>
            <m:r>
              <m:rPr/>
              <w:rPr>
                <w:rFonts w:ascii="Cambria Math" w:hAnsi="Cambria Math"/>
              </w:rPr>
              <m:t>,i</m:t>
            </m:r>
          </m:sub>
        </m:sSub>
      </m:oMath>
      <w:r>
        <w:rPr>
          <w:rFonts w:ascii="Arial" w:hAnsi="Arial" w:eastAsia="等线" w:cs="Arial"/>
          <w:sz w:val="22"/>
        </w:rPr>
        <w:t>—— 第</w:t>
      </w:r>
      <m:oMath>
        <m:r>
          <m:rPr/>
          <w:rPr>
            <w:rFonts w:ascii="Cambria Math" w:hAnsi="Cambria Math"/>
          </w:rPr>
          <m:t>i</m:t>
        </m:r>
      </m:oMath>
      <w:r>
        <w:rPr>
          <w:rFonts w:ascii="Arial" w:hAnsi="Arial" w:eastAsia="等线" w:cs="Arial"/>
          <w:sz w:val="22"/>
        </w:rPr>
        <w:t>类排放源碳排放权重（%）；</w:t>
      </w:r>
      <w:r>
        <w:rPr>
          <w:rFonts w:ascii="Arial" w:hAnsi="Arial" w:eastAsia="等线" w:cs="Arial"/>
          <w:sz w:val="22"/>
        </w:rPr>
        <w:br w:type="textWrapping"/>
      </w:r>
      <m:oMath>
        <m:sSub>
          <m:sSubPr/>
          <m:e>
            <m:r>
              <m:rPr/>
              <w:rPr>
                <w:rFonts w:ascii="Cambria Math" w:hAnsi="Cambria Math"/>
              </w:rPr>
              <m:t>E</m:t>
            </m:r>
          </m:e>
          <m:sub>
            <m:r>
              <m:rPr>
                <m:sty m:val="p"/>
              </m:rPr>
              <w:rPr>
                <w:rFonts w:ascii="Cambria Math" w:hAnsi="Cambria Math"/>
              </w:rPr>
              <m:t>单类</m:t>
            </m:r>
            <m:r>
              <m:rPr/>
              <w:rPr>
                <w:rFonts w:ascii="Cambria Math" w:hAnsi="Cambria Math"/>
              </w:rPr>
              <m:t>,i</m:t>
            </m:r>
          </m:sub>
        </m:sSub>
      </m:oMath>
      <w:r>
        <w:rPr>
          <w:rFonts w:ascii="Arial" w:hAnsi="Arial" w:eastAsia="等线" w:cs="Arial"/>
          <w:sz w:val="22"/>
        </w:rPr>
        <w:t>—— 第</w:t>
      </w:r>
      <m:oMath>
        <m:r>
          <m:rPr/>
          <w:rPr>
            <w:rFonts w:ascii="Cambria Math" w:hAnsi="Cambria Math"/>
          </w:rPr>
          <m:t>i</m:t>
        </m:r>
      </m:oMath>
      <w:r>
        <w:rPr>
          <w:rFonts w:ascii="Arial" w:hAnsi="Arial" w:eastAsia="等线" w:cs="Arial"/>
          <w:sz w:val="22"/>
        </w:rPr>
        <w:t>类排放源碳排放量（</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oMath>
      <w:r>
        <w:rPr>
          <w:rFonts w:ascii="Arial" w:hAnsi="Arial" w:eastAsia="等线" w:cs="Arial"/>
          <w:sz w:val="22"/>
        </w:rPr>
        <w:t>）；</w:t>
      </w:r>
      <w:r>
        <w:rPr>
          <w:rFonts w:ascii="Arial" w:hAnsi="Arial" w:eastAsia="等线" w:cs="Arial"/>
          <w:sz w:val="22"/>
        </w:rPr>
        <w:br w:type="textWrapping"/>
      </w:r>
      <m:oMath>
        <m:sSub>
          <m:sSubPr/>
          <m:e>
            <m:r>
              <m:rPr/>
              <w:rPr>
                <w:rFonts w:ascii="Cambria Math" w:hAnsi="Cambria Math"/>
              </w:rPr>
              <m:t>E</m:t>
            </m:r>
          </m:e>
          <m:sub>
            <m:r>
              <m:rPr>
                <m:sty m:val="p"/>
              </m:rPr>
              <w:rPr>
                <w:rFonts w:ascii="Cambria Math" w:hAnsi="Cambria Math"/>
              </w:rPr>
              <m:t>总</m:t>
            </m:r>
          </m:sub>
        </m:sSub>
      </m:oMath>
      <w:r>
        <w:rPr>
          <w:rFonts w:ascii="Arial" w:hAnsi="Arial" w:eastAsia="等线" w:cs="Arial"/>
          <w:sz w:val="22"/>
        </w:rPr>
        <w:t>—— 施工阶段核算总碳排放量（</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oMath>
      <w:r>
        <w:rPr>
          <w:rFonts w:ascii="Arial" w:hAnsi="Arial" w:eastAsia="等线" w:cs="Arial"/>
          <w:sz w:val="22"/>
        </w:rPr>
        <w:t>）。</w:t>
      </w:r>
    </w:p>
    <w:p w14:paraId="58EC5D91">
      <w:pPr>
        <w:numPr>
          <w:ilvl w:val="0"/>
          <w:numId w:val="2"/>
        </w:numPr>
        <w:spacing w:before="120" w:after="120" w:line="288" w:lineRule="auto"/>
        <w:ind w:left="0"/>
        <w:jc w:val="left"/>
      </w:pPr>
      <w:r>
        <w:rPr>
          <w:rFonts w:ascii="Arial" w:hAnsi="Arial" w:eastAsia="等线" w:cs="Arial"/>
          <w:sz w:val="22"/>
        </w:rPr>
        <w:t>排放大类权重拆分公式：</w:t>
      </w:r>
      <w:r>
        <w:rPr>
          <w:rFonts w:ascii="Arial" w:hAnsi="Arial" w:eastAsia="等线" w:cs="Arial"/>
          <w:sz w:val="22"/>
        </w:rPr>
        <w:br w:type="textWrapping"/>
      </w:r>
      <w:r>
        <w:rPr>
          <w:rFonts w:ascii="Arial" w:hAnsi="Arial" w:eastAsia="等线" w:cs="Arial"/>
          <w:sz w:val="22"/>
        </w:rPr>
        <w:t>（1）直接碳排放总权重</w:t>
      </w:r>
      <w:r>
        <w:rPr>
          <w:rFonts w:ascii="Arial" w:hAnsi="Arial" w:eastAsia="等线" w:cs="Arial"/>
          <w:sz w:val="22"/>
        </w:rPr>
        <w:br w:type="textWrapping"/>
      </w:r>
      <w:r>
        <w:rPr>
          <w:rFonts w:hint="eastAsia" w:eastAsia="等线" w:cs="Arial"/>
          <w:sz w:val="22"/>
          <w:lang w:val="en-US" w:eastAsia="zh-CN"/>
        </w:rPr>
        <w:t xml:space="preserve">    </w:t>
      </w:r>
      <m:oMath>
        <m:sSub>
          <m:sSubPr/>
          <m:e>
            <m:r>
              <m:rPr/>
              <w:rPr>
                <w:rFonts w:ascii="Cambria Math" w:hAnsi="Cambria Math"/>
              </w:rPr>
              <m:t>W</m:t>
            </m:r>
          </m:e>
          <m:sub>
            <m:r>
              <m:rPr>
                <m:sty m:val="p"/>
              </m:rPr>
              <w:rPr>
                <w:rFonts w:ascii="Cambria Math" w:hAnsi="Cambria Math"/>
              </w:rPr>
              <m:t>直总</m:t>
            </m:r>
          </m:sub>
        </m:sSub>
        <m:r>
          <m:rPr/>
          <w:rPr>
            <w:rFonts w:ascii="Cambria Math" w:hAnsi="Cambria Math"/>
          </w:rPr>
          <m:t>=</m:t>
        </m:r>
        <m:f>
          <m:fPr/>
          <m:num>
            <m:sSub>
              <m:sSubPr/>
              <m:e>
                <m:r>
                  <m:rPr/>
                  <w:rPr>
                    <w:rFonts w:ascii="Cambria Math" w:hAnsi="Cambria Math"/>
                  </w:rPr>
                  <m:t>E</m:t>
                </m:r>
              </m:e>
              <m:sub>
                <m:r>
                  <m:rPr>
                    <m:sty m:val="p"/>
                  </m:rPr>
                  <w:rPr>
                    <w:rFonts w:ascii="Cambria Math" w:hAnsi="Cambria Math"/>
                  </w:rPr>
                  <m:t>直总</m:t>
                </m:r>
              </m:sub>
            </m:sSub>
          </m:num>
          <m:den>
            <m:sSub>
              <m:sSubPr/>
              <m:e>
                <m:r>
                  <m:rPr/>
                  <w:rPr>
                    <w:rFonts w:ascii="Cambria Math" w:hAnsi="Cambria Math"/>
                  </w:rPr>
                  <m:t>E</m:t>
                </m:r>
              </m:e>
              <m:sub>
                <m:r>
                  <m:rPr>
                    <m:sty m:val="p"/>
                  </m:rPr>
                  <w:rPr>
                    <w:rFonts w:ascii="Cambria Math" w:hAnsi="Cambria Math"/>
                  </w:rPr>
                  <m:t>总</m:t>
                </m:r>
              </m:sub>
            </m:sSub>
          </m:den>
        </m:f>
        <m:r>
          <m:rPr/>
          <w:rPr>
            <w:rFonts w:ascii="Cambria Math" w:hAnsi="Cambria Math"/>
          </w:rPr>
          <m:t>×100</m:t>
        </m:r>
      </m:oMath>
      <w:r>
        <w:rPr>
          <w:rFonts w:hint="eastAsia" w:hAnsi="Cambria Math" w:eastAsia="宋体"/>
          <w:i w:val="0"/>
          <w:lang w:val="en-US" w:eastAsia="zh-CN"/>
        </w:rPr>
        <w:t xml:space="preserve">       </w:t>
      </w:r>
      <w:r>
        <w:rPr>
          <w:rFonts w:ascii="Arial" w:hAnsi="Arial" w:eastAsia="等线" w:cs="Arial"/>
          <w:sz w:val="22"/>
        </w:rPr>
        <w:t>（7.3.3-2）</w:t>
      </w:r>
      <w:r>
        <w:rPr>
          <w:rFonts w:ascii="Arial" w:hAnsi="Arial" w:eastAsia="等线" w:cs="Arial"/>
          <w:sz w:val="22"/>
        </w:rPr>
        <w:br w:type="textWrapping"/>
      </w:r>
      <w:r>
        <w:rPr>
          <w:rFonts w:ascii="Arial" w:hAnsi="Arial" w:eastAsia="等线" w:cs="Arial"/>
          <w:sz w:val="22"/>
        </w:rPr>
        <w:t>（2）间接碳排放总权重</w:t>
      </w:r>
      <w:r>
        <w:rPr>
          <w:rFonts w:hint="eastAsia" w:eastAsia="等线" w:cs="Arial"/>
          <w:sz w:val="22"/>
          <w:lang w:val="en-US" w:eastAsia="zh-CN"/>
        </w:rPr>
        <w:t xml:space="preserve">  </w:t>
      </w:r>
      <w:r>
        <w:rPr>
          <w:rFonts w:ascii="Arial" w:hAnsi="Arial" w:eastAsia="等线" w:cs="Arial"/>
          <w:sz w:val="22"/>
        </w:rPr>
        <w:br w:type="textWrapping"/>
      </w:r>
      <w:r>
        <w:rPr>
          <w:rFonts w:hint="eastAsia" w:eastAsia="等线" w:cs="Arial"/>
          <w:sz w:val="22"/>
          <w:lang w:val="en-US" w:eastAsia="zh-CN"/>
        </w:rPr>
        <w:t xml:space="preserve">    </w:t>
      </w:r>
      <m:oMath>
        <m:sSub>
          <m:sSubPr/>
          <m:e>
            <m:r>
              <m:rPr/>
              <w:rPr>
                <w:rFonts w:ascii="Cambria Math" w:hAnsi="Cambria Math"/>
              </w:rPr>
              <m:t>W</m:t>
            </m:r>
          </m:e>
          <m:sub>
            <m:r>
              <m:rPr>
                <m:sty m:val="p"/>
              </m:rPr>
              <w:rPr>
                <w:rFonts w:ascii="Cambria Math" w:hAnsi="Cambria Math"/>
              </w:rPr>
              <m:t>间总</m:t>
            </m:r>
          </m:sub>
        </m:sSub>
        <m:r>
          <m:rPr/>
          <w:rPr>
            <w:rFonts w:ascii="Cambria Math" w:hAnsi="Cambria Math"/>
          </w:rPr>
          <m:t>=</m:t>
        </m:r>
        <m:f>
          <m:fPr/>
          <m:num>
            <m:sSub>
              <m:sSubPr/>
              <m:e>
                <m:r>
                  <m:rPr/>
                  <w:rPr>
                    <w:rFonts w:ascii="Cambria Math" w:hAnsi="Cambria Math"/>
                  </w:rPr>
                  <m:t>E</m:t>
                </m:r>
              </m:e>
              <m:sub>
                <m:r>
                  <m:rPr>
                    <m:sty m:val="p"/>
                  </m:rPr>
                  <w:rPr>
                    <w:rFonts w:ascii="Cambria Math" w:hAnsi="Cambria Math"/>
                  </w:rPr>
                  <m:t>间总</m:t>
                </m:r>
              </m:sub>
            </m:sSub>
          </m:num>
          <m:den>
            <m:sSub>
              <m:sSubPr/>
              <m:e>
                <m:r>
                  <m:rPr/>
                  <w:rPr>
                    <w:rFonts w:ascii="Cambria Math" w:hAnsi="Cambria Math"/>
                  </w:rPr>
                  <m:t>E</m:t>
                </m:r>
              </m:e>
              <m:sub>
                <m:r>
                  <m:rPr>
                    <m:sty m:val="p"/>
                  </m:rPr>
                  <w:rPr>
                    <w:rFonts w:ascii="Cambria Math" w:hAnsi="Cambria Math"/>
                  </w:rPr>
                  <m:t>总</m:t>
                </m:r>
              </m:sub>
            </m:sSub>
          </m:den>
        </m:f>
        <m:r>
          <m:rPr/>
          <w:rPr>
            <w:rFonts w:ascii="Cambria Math" w:hAnsi="Cambria Math"/>
          </w:rPr>
          <m:t>×100</m:t>
        </m:r>
      </m:oMath>
      <w:r>
        <w:rPr>
          <w:rFonts w:hint="eastAsia" w:hAnsi="Cambria Math" w:eastAsia="宋体"/>
          <w:i w:val="0"/>
          <w:lang w:val="en-US" w:eastAsia="zh-CN"/>
        </w:rPr>
        <w:t xml:space="preserve">       </w:t>
      </w:r>
      <w:r>
        <w:rPr>
          <w:rFonts w:ascii="Arial" w:hAnsi="Arial" w:eastAsia="等线" w:cs="Arial"/>
          <w:sz w:val="22"/>
        </w:rPr>
        <w:t>（7.3.3-</w:t>
      </w:r>
      <w:r>
        <w:rPr>
          <w:rFonts w:hint="eastAsia" w:eastAsia="等线" w:cs="Arial"/>
          <w:sz w:val="22"/>
          <w:lang w:val="en-US" w:eastAsia="zh-CN"/>
        </w:rPr>
        <w:t>3</w:t>
      </w:r>
      <w:r>
        <w:rPr>
          <w:rFonts w:ascii="Arial" w:hAnsi="Arial" w:eastAsia="等线" w:cs="Arial"/>
          <w:sz w:val="22"/>
        </w:rPr>
        <w:t>）</w:t>
      </w:r>
      <w:r>
        <w:rPr>
          <w:rFonts w:ascii="Arial" w:hAnsi="Arial" w:eastAsia="等线" w:cs="Arial"/>
          <w:sz w:val="22"/>
        </w:rPr>
        <w:br w:type="textWrapping"/>
      </w:r>
      <w:r>
        <w:rPr>
          <w:rFonts w:ascii="Arial" w:hAnsi="Arial" w:eastAsia="等线" w:cs="Arial"/>
          <w:sz w:val="22"/>
        </w:rPr>
        <w:t>式中：</w:t>
      </w:r>
      <w:r>
        <w:rPr>
          <w:rFonts w:ascii="Arial" w:hAnsi="Arial" w:eastAsia="等线" w:cs="Arial"/>
          <w:sz w:val="22"/>
        </w:rPr>
        <w:br w:type="textWrapping"/>
      </w:r>
      <m:oMath>
        <m:sSub>
          <m:sSubPr/>
          <m:e>
            <m:r>
              <m:rPr/>
              <w:rPr>
                <w:rFonts w:ascii="Cambria Math" w:hAnsi="Cambria Math"/>
              </w:rPr>
              <m:t>W</m:t>
            </m:r>
          </m:e>
          <m:sub>
            <m:r>
              <m:rPr>
                <m:sty m:val="p"/>
              </m:rPr>
              <w:rPr>
                <w:rFonts w:ascii="Cambria Math" w:hAnsi="Cambria Math"/>
              </w:rPr>
              <m:t>直总</m:t>
            </m:r>
          </m:sub>
        </m:sSub>
      </m:oMath>
      <w:r>
        <w:rPr>
          <w:rFonts w:ascii="Arial" w:hAnsi="Arial" w:eastAsia="等线" w:cs="Arial"/>
          <w:sz w:val="22"/>
        </w:rPr>
        <w:t>—— 施工阶段直接碳排放总权重（%）；</w:t>
      </w:r>
      <w:r>
        <w:rPr>
          <w:rFonts w:ascii="Arial" w:hAnsi="Arial" w:eastAsia="等线" w:cs="Arial"/>
          <w:sz w:val="22"/>
        </w:rPr>
        <w:br w:type="textWrapping"/>
      </w:r>
      <m:oMath>
        <m:sSub>
          <m:sSubPr/>
          <m:e>
            <m:r>
              <m:rPr/>
              <w:rPr>
                <w:rFonts w:ascii="Cambria Math" w:hAnsi="Cambria Math"/>
              </w:rPr>
              <m:t>W</m:t>
            </m:r>
          </m:e>
          <m:sub>
            <m:r>
              <m:rPr>
                <m:sty m:val="p"/>
              </m:rPr>
              <w:rPr>
                <w:rFonts w:ascii="Cambria Math" w:hAnsi="Cambria Math"/>
              </w:rPr>
              <m:t>间总</m:t>
            </m:r>
          </m:sub>
        </m:sSub>
      </m:oMath>
      <w:r>
        <w:rPr>
          <w:rFonts w:ascii="Arial" w:hAnsi="Arial" w:eastAsia="等线" w:cs="Arial"/>
          <w:sz w:val="22"/>
        </w:rPr>
        <w:t>—— 施工阶段间接碳排放总权重（%）；</w:t>
      </w:r>
      <w:r>
        <w:rPr>
          <w:rFonts w:ascii="Arial" w:hAnsi="Arial" w:eastAsia="等线" w:cs="Arial"/>
          <w:sz w:val="22"/>
        </w:rPr>
        <w:br w:type="textWrapping"/>
      </w:r>
      <m:oMath>
        <m:sSub>
          <m:sSubPr/>
          <m:e>
            <m:r>
              <m:rPr/>
              <w:rPr>
                <w:rFonts w:ascii="Cambria Math" w:hAnsi="Cambria Math"/>
              </w:rPr>
              <m:t>E</m:t>
            </m:r>
          </m:e>
          <m:sub>
            <m:r>
              <m:rPr>
                <m:sty m:val="p"/>
              </m:rPr>
              <w:rPr>
                <w:rFonts w:ascii="Cambria Math" w:hAnsi="Cambria Math"/>
              </w:rPr>
              <m:t>直总</m:t>
            </m:r>
          </m:sub>
        </m:sSub>
      </m:oMath>
      <w:r>
        <w:rPr>
          <w:rFonts w:ascii="Arial" w:hAnsi="Arial" w:eastAsia="等线" w:cs="Arial"/>
          <w:sz w:val="22"/>
        </w:rPr>
        <w:t>—— 施工阶段直接碳排放总量（</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oMath>
      <w:r>
        <w:rPr>
          <w:rFonts w:ascii="Arial" w:hAnsi="Arial" w:eastAsia="等线" w:cs="Arial"/>
          <w:sz w:val="22"/>
        </w:rPr>
        <w:t>）；</w:t>
      </w:r>
      <w:r>
        <w:rPr>
          <w:rFonts w:ascii="Arial" w:hAnsi="Arial" w:eastAsia="等线" w:cs="Arial"/>
          <w:sz w:val="22"/>
        </w:rPr>
        <w:br w:type="textWrapping"/>
      </w:r>
      <m:oMath>
        <m:sSub>
          <m:sSubPr/>
          <m:e>
            <m:r>
              <m:rPr/>
              <w:rPr>
                <w:rFonts w:ascii="Cambria Math" w:hAnsi="Cambria Math"/>
              </w:rPr>
              <m:t>E</m:t>
            </m:r>
          </m:e>
          <m:sub>
            <m:r>
              <m:rPr>
                <m:sty m:val="p"/>
              </m:rPr>
              <w:rPr>
                <w:rFonts w:ascii="Cambria Math" w:hAnsi="Cambria Math"/>
              </w:rPr>
              <m:t>间总</m:t>
            </m:r>
          </m:sub>
        </m:sSub>
      </m:oMath>
      <w:r>
        <w:rPr>
          <w:rFonts w:ascii="Arial" w:hAnsi="Arial" w:eastAsia="等线" w:cs="Arial"/>
          <w:sz w:val="22"/>
        </w:rPr>
        <w:t>—— 施工阶段间接碳排放总量（</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oMath>
      <w:r>
        <w:rPr>
          <w:rFonts w:ascii="Arial" w:hAnsi="Arial" w:eastAsia="等线" w:cs="Arial"/>
          <w:sz w:val="22"/>
        </w:rPr>
        <w:t>）。</w:t>
      </w:r>
    </w:p>
    <w:p w14:paraId="69BBFDF3">
      <w:pPr>
        <w:pStyle w:val="14"/>
        <w:keepNext w:val="0"/>
        <w:keepLines w:val="0"/>
        <w:widowControl/>
        <w:suppressLineNumbers w:val="0"/>
        <w:kinsoku w:val="0"/>
        <w:autoSpaceDE w:val="0"/>
        <w:autoSpaceDN w:val="0"/>
        <w:adjustRightInd w:val="0"/>
        <w:snapToGrid w:val="0"/>
        <w:spacing w:before="0" w:beforeAutospacing="0" w:after="120" w:afterAutospacing="0" w:line="360" w:lineRule="auto"/>
        <w:ind w:left="420" w:leftChars="200" w:right="0"/>
        <w:jc w:val="left"/>
        <w:rPr>
          <w:lang w:val="en-US" w:eastAsia="zh-CN"/>
        </w:rPr>
      </w:pPr>
      <w:r>
        <w:rPr>
          <w:rFonts w:hint="default" w:ascii="Times New Roman" w:hAnsi="Times New Roman" w:eastAsia="宋体" w:cs="Arial"/>
          <w:snapToGrid/>
          <w:color w:val="000000"/>
          <w:kern w:val="0"/>
          <w:sz w:val="24"/>
          <w:szCs w:val="21"/>
          <w:lang w:val="en-US" w:eastAsia="zh-CN" w:bidi="ar"/>
        </w:rPr>
        <w:tab/>
      </w:r>
      <w:r>
        <w:rPr>
          <w:rFonts w:hint="default" w:ascii="Times New Roman" w:hAnsi="Times New Roman" w:eastAsia="宋体" w:cs="Arial"/>
          <w:b/>
          <w:bCs/>
          <w:snapToGrid/>
          <w:color w:val="000000"/>
          <w:kern w:val="0"/>
          <w:sz w:val="24"/>
          <w:szCs w:val="21"/>
          <w:lang w:eastAsia="zh-CN" w:bidi="ar"/>
        </w:rPr>
        <w:t>7.3.4</w:t>
      </w:r>
      <w:r>
        <w:rPr>
          <w:rFonts w:hint="eastAsia" w:ascii="Times New Roman" w:hAnsi="Times New Roman" w:eastAsia="宋体" w:cs="Arial"/>
          <w:b/>
          <w:bCs/>
          <w:snapToGrid/>
          <w:color w:val="000000"/>
          <w:kern w:val="0"/>
          <w:sz w:val="24"/>
          <w:szCs w:val="21"/>
          <w:lang w:val="en-US" w:eastAsia="zh-CN" w:bidi="ar"/>
        </w:rPr>
        <w:t xml:space="preserve">  </w:t>
      </w:r>
      <w:r>
        <w:rPr>
          <w:rFonts w:hint="eastAsia" w:ascii="Times New Roman" w:hAnsi="Times New Roman" w:eastAsia="宋体" w:cs="宋体"/>
          <w:snapToGrid/>
          <w:color w:val="000000"/>
          <w:kern w:val="0"/>
          <w:sz w:val="24"/>
          <w:szCs w:val="21"/>
          <w:lang w:val="en-US" w:eastAsia="zh-CN" w:bidi="ar"/>
        </w:rPr>
        <w:t>施工阶段总碳排放计算</w:t>
      </w:r>
    </w:p>
    <w:p w14:paraId="5AF54DCA">
      <w:pPr>
        <w:numPr>
          <w:ilvl w:val="0"/>
          <w:numId w:val="3"/>
        </w:numPr>
        <w:spacing w:before="120" w:after="120" w:line="288" w:lineRule="auto"/>
        <w:ind w:left="0"/>
        <w:jc w:val="left"/>
        <w:rPr>
          <w:rFonts w:hint="default" w:ascii="Arial" w:hAnsi="Arial" w:eastAsia="等线" w:cs="Arial"/>
          <w:sz w:val="22"/>
          <w:lang w:eastAsia="zh-CN"/>
        </w:rPr>
      </w:pPr>
      <w:r>
        <w:rPr>
          <w:rFonts w:hint="default" w:ascii="Arial" w:hAnsi="Arial" w:eastAsia="等线" w:cs="Arial"/>
          <w:sz w:val="22"/>
          <w:lang w:eastAsia="zh-CN"/>
        </w:rPr>
        <w:t xml:space="preserve">分项排放量基础公式  </w:t>
      </w:r>
    </w:p>
    <w:p w14:paraId="230AAAE4">
      <w:pPr>
        <w:widowControl/>
        <w:numPr>
          <w:ilvl w:val="0"/>
          <w:numId w:val="4"/>
        </w:numPr>
        <w:bidi w:val="0"/>
        <w:ind w:left="416" w:hanging="416"/>
        <w:rPr>
          <w:rFonts w:hint="default" w:ascii="Times New Roman" w:hAnsi="Times New Roman" w:eastAsia="宋体" w:cs="Times New Roman"/>
          <w:snapToGrid/>
          <w:color w:val="000000"/>
          <w:sz w:val="24"/>
          <w:szCs w:val="24"/>
          <w:lang w:eastAsia="zh-CN"/>
        </w:rPr>
      </w:pPr>
      <w:r>
        <w:rPr>
          <w:rFonts w:hint="default" w:ascii="Times New Roman" w:hAnsi="Times New Roman" w:eastAsia="宋体" w:cs="Times New Roman"/>
          <w:snapToGrid/>
          <w:color w:val="000000"/>
          <w:sz w:val="24"/>
          <w:szCs w:val="24"/>
          <w:lang w:eastAsia="zh-CN"/>
        </w:rPr>
        <w:t>直接碳排放分项计算：</w:t>
      </w:r>
    </w:p>
    <w:p w14:paraId="320467E9">
      <w:pPr>
        <w:widowControl w:val="0"/>
        <w:numPr>
          <w:ilvl w:val="0"/>
          <w:numId w:val="0"/>
        </w:numPr>
        <w:kinsoku/>
        <w:autoSpaceDE/>
        <w:autoSpaceDN/>
        <w:adjustRightInd/>
        <w:snapToGrid/>
        <w:spacing w:before="120" w:after="120" w:line="288" w:lineRule="auto"/>
        <w:ind w:firstLine="2520" w:firstLineChars="1200"/>
        <w:jc w:val="left"/>
        <w:textAlignment w:val="auto"/>
        <w:rPr>
          <w:rFonts w:ascii="Calibri" w:hAnsi="Calibri" w:eastAsia="宋体" w:cs="Times New Roman"/>
          <w:snapToGrid/>
          <w:kern w:val="0"/>
          <w:szCs w:val="22"/>
        </w:rPr>
      </w:pPr>
      <m:oMath>
        <m:sSub>
          <m:sSubPr/>
          <m:e>
            <m:r>
              <m:rPr/>
              <w:rPr>
                <w:rFonts w:ascii="Cambria Math" w:hAnsi="Cambria Math"/>
              </w:rPr>
              <m:t>E</m:t>
            </m:r>
          </m:e>
          <m:sub>
            <m:r>
              <m:rPr>
                <m:sty m:val="p"/>
              </m:rPr>
              <w:rPr>
                <w:rFonts w:ascii="Cambria Math" w:hAnsi="Cambria Math"/>
              </w:rPr>
              <m:t>直</m:t>
            </m:r>
            <m:r>
              <m:rPr/>
              <w:rPr>
                <w:rFonts w:ascii="Cambria Math" w:hAnsi="Cambria Math"/>
              </w:rPr>
              <m:t>,i</m:t>
            </m:r>
          </m:sub>
        </m:sSub>
        <m:r>
          <m:rPr/>
          <w:rPr>
            <w:rFonts w:ascii="Cambria Math" w:hAnsi="Cambria Math"/>
          </w:rPr>
          <m:t>=A</m:t>
        </m:r>
        <m:sSub>
          <m:sSubPr/>
          <m:e>
            <m:r>
              <m:rPr/>
              <w:rPr>
                <w:rFonts w:ascii="Cambria Math" w:hAnsi="Cambria Math"/>
              </w:rPr>
              <m:t>D</m:t>
            </m:r>
          </m:e>
          <m:sub>
            <m:r>
              <m:rPr>
                <m:sty m:val="p"/>
              </m:rPr>
              <w:rPr>
                <w:rFonts w:ascii="Cambria Math" w:hAnsi="Cambria Math"/>
              </w:rPr>
              <m:t>直</m:t>
            </m:r>
            <m:r>
              <m:rPr/>
              <w:rPr>
                <w:rFonts w:ascii="Cambria Math" w:hAnsi="Cambria Math"/>
              </w:rPr>
              <m:t>,i</m:t>
            </m:r>
          </m:sub>
        </m:sSub>
        <m:r>
          <m:rPr/>
          <w:rPr>
            <w:rFonts w:ascii="Cambria Math" w:hAnsi="Cambria Math"/>
          </w:rPr>
          <m:t>×E</m:t>
        </m:r>
        <m:sSub>
          <m:sSubPr/>
          <m:e>
            <m:r>
              <m:rPr/>
              <w:rPr>
                <w:rFonts w:ascii="Cambria Math" w:hAnsi="Cambria Math"/>
              </w:rPr>
              <m:t>F</m:t>
            </m:r>
          </m:e>
          <m:sub>
            <m:r>
              <m:rPr>
                <m:sty m:val="p"/>
              </m:rPr>
              <w:rPr>
                <w:rFonts w:ascii="Cambria Math" w:hAnsi="Cambria Math"/>
              </w:rPr>
              <m:t>直</m:t>
            </m:r>
            <m:r>
              <m:rPr/>
              <w:rPr>
                <w:rFonts w:ascii="Cambria Math" w:hAnsi="Cambria Math"/>
              </w:rPr>
              <m:t>,i</m:t>
            </m:r>
          </m:sub>
        </m:sSub>
      </m:oMath>
      <w:r>
        <w:rPr>
          <w:rFonts w:hint="eastAsia" w:eastAsia="宋体"/>
          <w:i w:val="0"/>
          <w:lang w:val="en-US" w:eastAsia="zh-CN"/>
        </w:rPr>
        <w:t xml:space="preserve">    </w:t>
      </w:r>
      <w:r>
        <w:rPr>
          <w:rFonts w:ascii="Arial" w:hAnsi="Arial" w:eastAsia="等线" w:cs="Arial"/>
          <w:sz w:val="22"/>
        </w:rPr>
        <w:t>（7.3.</w:t>
      </w:r>
      <w:r>
        <w:rPr>
          <w:rFonts w:hint="eastAsia" w:eastAsia="等线" w:cs="Arial"/>
          <w:sz w:val="22"/>
          <w:lang w:val="en-US" w:eastAsia="zh-CN"/>
        </w:rPr>
        <w:t>4</w:t>
      </w:r>
      <w:r>
        <w:rPr>
          <w:rFonts w:ascii="Arial" w:hAnsi="Arial" w:eastAsia="等线" w:cs="Arial"/>
          <w:sz w:val="22"/>
        </w:rPr>
        <w:t>-1）</w:t>
      </w:r>
      <w:r>
        <w:rPr>
          <w:rFonts w:ascii="Arial" w:hAnsi="Arial" w:eastAsia="等线" w:cs="Arial"/>
          <w:snapToGrid/>
          <w:kern w:val="0"/>
          <w:sz w:val="22"/>
          <w:szCs w:val="22"/>
        </w:rPr>
        <w:br w:type="textWrapping"/>
      </w:r>
      <w:r>
        <w:rPr>
          <w:rFonts w:ascii="Arial" w:hAnsi="Arial" w:eastAsia="等线" w:cs="Arial"/>
          <w:snapToGrid/>
          <w:kern w:val="0"/>
          <w:sz w:val="22"/>
          <w:szCs w:val="22"/>
        </w:rPr>
        <w:t>式中：</w:t>
      </w:r>
      <w:r>
        <w:rPr>
          <w:rFonts w:ascii="Arial" w:hAnsi="Arial" w:eastAsia="等线" w:cs="Arial"/>
          <w:snapToGrid/>
          <w:kern w:val="0"/>
          <w:sz w:val="22"/>
          <w:szCs w:val="22"/>
        </w:rPr>
        <w:br w:type="textWrapping"/>
      </w:r>
      <m:oMath>
        <m:sSub>
          <m:sSubPr/>
          <m:e>
            <m:r>
              <m:rPr/>
              <w:rPr>
                <w:rFonts w:ascii="Cambria Math" w:hAnsi="Cambria Math"/>
              </w:rPr>
              <m:t>E</m:t>
            </m:r>
          </m:e>
          <m:sub>
            <m:r>
              <m:rPr>
                <m:sty m:val="p"/>
              </m:rPr>
              <w:rPr>
                <w:rFonts w:ascii="Cambria Math" w:hAnsi="Cambria Math"/>
              </w:rPr>
              <m:t>直</m:t>
            </m:r>
            <m:r>
              <m:rPr/>
              <w:rPr>
                <w:rFonts w:ascii="Cambria Math" w:hAnsi="Cambria Math"/>
              </w:rPr>
              <m:t>,i</m:t>
            </m:r>
          </m:sub>
        </m:sSub>
      </m:oMath>
      <w:r>
        <w:rPr>
          <w:rFonts w:ascii="Arial" w:hAnsi="Arial" w:eastAsia="等线" w:cs="Arial"/>
          <w:snapToGrid/>
          <w:kern w:val="0"/>
          <w:sz w:val="22"/>
          <w:szCs w:val="22"/>
        </w:rPr>
        <w:t>—— 第</w:t>
      </w:r>
      <m:oMath>
        <m:r>
          <m:rPr/>
          <w:rPr>
            <w:rFonts w:ascii="Cambria Math" w:hAnsi="Cambria Math"/>
          </w:rPr>
          <m:t>i</m:t>
        </m:r>
      </m:oMath>
      <w:r>
        <w:rPr>
          <w:rFonts w:ascii="Arial" w:hAnsi="Arial" w:eastAsia="等线" w:cs="Arial"/>
          <w:snapToGrid/>
          <w:kern w:val="0"/>
          <w:sz w:val="22"/>
          <w:szCs w:val="22"/>
        </w:rPr>
        <w:t>项直接排放碳排放量（</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oMath>
      <w:r>
        <w:rPr>
          <w:rFonts w:ascii="Arial" w:hAnsi="Arial" w:eastAsia="等线" w:cs="Arial"/>
          <w:snapToGrid/>
          <w:kern w:val="0"/>
          <w:sz w:val="22"/>
          <w:szCs w:val="22"/>
        </w:rPr>
        <w:t>）；</w:t>
      </w:r>
      <w:r>
        <w:rPr>
          <w:rFonts w:ascii="Arial" w:hAnsi="Arial" w:eastAsia="等线" w:cs="Arial"/>
          <w:snapToGrid/>
          <w:kern w:val="0"/>
          <w:sz w:val="22"/>
          <w:szCs w:val="22"/>
        </w:rPr>
        <w:br w:type="textWrapping"/>
      </w:r>
      <m:oMath>
        <m:r>
          <m:rPr/>
          <w:rPr>
            <w:rFonts w:ascii="Cambria Math" w:hAnsi="Cambria Math"/>
          </w:rPr>
          <m:t>A</m:t>
        </m:r>
        <m:sSub>
          <m:sSubPr/>
          <m:e>
            <m:r>
              <m:rPr/>
              <w:rPr>
                <w:rFonts w:ascii="Cambria Math" w:hAnsi="Cambria Math"/>
              </w:rPr>
              <m:t>D</m:t>
            </m:r>
          </m:e>
          <m:sub>
            <m:r>
              <m:rPr>
                <m:sty m:val="p"/>
              </m:rPr>
              <w:rPr>
                <w:rFonts w:ascii="Cambria Math" w:hAnsi="Cambria Math"/>
              </w:rPr>
              <m:t>直</m:t>
            </m:r>
            <m:r>
              <m:rPr/>
              <w:rPr>
                <w:rFonts w:ascii="Cambria Math" w:hAnsi="Cambria Math"/>
              </w:rPr>
              <m:t>,i</m:t>
            </m:r>
          </m:sub>
        </m:sSub>
      </m:oMath>
      <w:r>
        <w:rPr>
          <w:rFonts w:ascii="Arial" w:hAnsi="Arial" w:eastAsia="等线" w:cs="Arial"/>
          <w:snapToGrid/>
          <w:kern w:val="0"/>
          <w:sz w:val="22"/>
          <w:szCs w:val="22"/>
        </w:rPr>
        <w:t>—— 第</w:t>
      </w:r>
      <m:oMath>
        <m:r>
          <m:rPr/>
          <w:rPr>
            <w:rFonts w:ascii="Cambria Math" w:hAnsi="Cambria Math"/>
          </w:rPr>
          <m:t>i</m:t>
        </m:r>
      </m:oMath>
      <w:r>
        <w:rPr>
          <w:rFonts w:ascii="Arial" w:hAnsi="Arial" w:eastAsia="等线" w:cs="Arial"/>
          <w:snapToGrid/>
          <w:kern w:val="0"/>
          <w:sz w:val="22"/>
          <w:szCs w:val="22"/>
        </w:rPr>
        <w:t>项直接排放活动数据；</w:t>
      </w:r>
      <w:r>
        <w:rPr>
          <w:rFonts w:ascii="Arial" w:hAnsi="Arial" w:eastAsia="等线" w:cs="Arial"/>
          <w:snapToGrid/>
          <w:kern w:val="0"/>
          <w:sz w:val="22"/>
          <w:szCs w:val="22"/>
        </w:rPr>
        <w:br w:type="textWrapping"/>
      </w:r>
      <m:oMath>
        <m:r>
          <m:rPr/>
          <w:rPr>
            <w:rFonts w:ascii="Cambria Math" w:hAnsi="Cambria Math"/>
          </w:rPr>
          <m:t>E</m:t>
        </m:r>
        <m:sSub>
          <m:sSubPr/>
          <m:e>
            <m:r>
              <m:rPr/>
              <w:rPr>
                <w:rFonts w:ascii="Cambria Math" w:hAnsi="Cambria Math"/>
              </w:rPr>
              <m:t>F</m:t>
            </m:r>
          </m:e>
          <m:sub>
            <m:r>
              <m:rPr>
                <m:sty m:val="p"/>
              </m:rPr>
              <w:rPr>
                <w:rFonts w:ascii="Cambria Math" w:hAnsi="Cambria Math"/>
              </w:rPr>
              <m:t>直</m:t>
            </m:r>
            <m:r>
              <m:rPr/>
              <w:rPr>
                <w:rFonts w:ascii="Cambria Math" w:hAnsi="Cambria Math"/>
              </w:rPr>
              <m:t>,i</m:t>
            </m:r>
          </m:sub>
        </m:sSub>
      </m:oMath>
      <w:r>
        <w:rPr>
          <w:rFonts w:ascii="Arial" w:hAnsi="Arial" w:eastAsia="等线" w:cs="Arial"/>
          <w:snapToGrid/>
          <w:kern w:val="0"/>
          <w:sz w:val="22"/>
          <w:szCs w:val="22"/>
        </w:rPr>
        <w:t>—— 对应活动碳排放因子（</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r>
          <m:rPr/>
          <w:rPr>
            <w:rFonts w:ascii="Cambria Math" w:hAnsi="Cambria Math"/>
          </w:rPr>
          <m:t>/</m:t>
        </m:r>
        <m:r>
          <m:rPr>
            <m:sty m:val="p"/>
          </m:rPr>
          <w:rPr>
            <w:rFonts w:ascii="Cambria Math" w:hAnsi="Cambria Math"/>
          </w:rPr>
          <m:t>单位活动量</m:t>
        </m:r>
      </m:oMath>
      <w:r>
        <w:rPr>
          <w:rFonts w:ascii="Arial" w:hAnsi="Arial" w:eastAsia="等线" w:cs="Arial"/>
          <w:snapToGrid/>
          <w:kern w:val="0"/>
          <w:sz w:val="22"/>
          <w:szCs w:val="22"/>
        </w:rPr>
        <w:t>）。</w:t>
      </w:r>
    </w:p>
    <w:p w14:paraId="00E0726F">
      <w:pPr>
        <w:widowControl/>
        <w:numPr>
          <w:ilvl w:val="0"/>
          <w:numId w:val="4"/>
        </w:numPr>
        <w:bidi w:val="0"/>
        <w:ind w:left="416" w:hanging="416"/>
        <w:rPr>
          <w:rFonts w:hint="eastAsia" w:ascii="等线" w:hAnsi="等线" w:eastAsia="等线" w:cs="Times New Roman"/>
          <w:snapToGrid/>
          <w:color w:val="auto"/>
          <w:kern w:val="2"/>
          <w:sz w:val="22"/>
          <w:szCs w:val="24"/>
          <w:lang w:val="en-US" w:eastAsia="zh-CN"/>
        </w:rPr>
      </w:pPr>
      <w:r>
        <w:rPr>
          <w:rFonts w:ascii="Arial" w:hAnsi="Arial" w:eastAsia="等线" w:cs="Arial"/>
          <w:snapToGrid/>
          <w:kern w:val="0"/>
          <w:sz w:val="22"/>
          <w:szCs w:val="22"/>
        </w:rPr>
        <w:t>间接碳排放分项计算</w:t>
      </w:r>
      <w:r>
        <w:rPr>
          <w:rFonts w:hint="eastAsia" w:eastAsia="等线" w:cs="Arial"/>
          <w:snapToGrid/>
          <w:kern w:val="0"/>
          <w:sz w:val="22"/>
          <w:szCs w:val="22"/>
          <w:lang w:val="en-US" w:eastAsia="zh-CN"/>
        </w:rPr>
        <w:t xml:space="preserve"> </w:t>
      </w:r>
      <w:r>
        <w:rPr>
          <w:rFonts w:ascii="Arial" w:hAnsi="Arial" w:eastAsia="等线" w:cs="Arial"/>
          <w:snapToGrid/>
          <w:kern w:val="0"/>
          <w:sz w:val="22"/>
          <w:szCs w:val="22"/>
        </w:rPr>
        <w:br w:type="textWrapping"/>
      </w:r>
      <w:r>
        <w:rPr>
          <w:rFonts w:hint="eastAsia" w:eastAsia="等线" w:cs="Arial"/>
          <w:snapToGrid/>
          <w:kern w:val="0"/>
          <w:sz w:val="22"/>
          <w:szCs w:val="22"/>
          <w:lang w:val="en-US" w:eastAsia="zh-CN"/>
        </w:rPr>
        <w:t xml:space="preserve">                  </w:t>
      </w:r>
      <m:oMath>
        <m:sSub>
          <m:sSubPr/>
          <m:e>
            <m:r>
              <m:rPr/>
              <w:rPr>
                <w:rFonts w:ascii="Cambria Math" w:hAnsi="Cambria Math"/>
              </w:rPr>
              <m:t>E</m:t>
            </m:r>
          </m:e>
          <m:sub>
            <m:r>
              <m:rPr>
                <m:sty m:val="p"/>
              </m:rPr>
              <w:rPr>
                <w:rFonts w:ascii="Cambria Math" w:hAnsi="Cambria Math"/>
              </w:rPr>
              <m:t>间</m:t>
            </m:r>
            <m:r>
              <m:rPr/>
              <w:rPr>
                <w:rFonts w:ascii="Cambria Math" w:hAnsi="Cambria Math"/>
              </w:rPr>
              <m:t>,j</m:t>
            </m:r>
          </m:sub>
        </m:sSub>
        <m:r>
          <m:rPr/>
          <w:rPr>
            <w:rFonts w:ascii="Cambria Math" w:hAnsi="Cambria Math"/>
          </w:rPr>
          <m:t>=A</m:t>
        </m:r>
        <m:sSub>
          <m:sSubPr/>
          <m:e>
            <m:r>
              <m:rPr/>
              <w:rPr>
                <w:rFonts w:ascii="Cambria Math" w:hAnsi="Cambria Math"/>
              </w:rPr>
              <m:t>D</m:t>
            </m:r>
          </m:e>
          <m:sub>
            <m:r>
              <m:rPr>
                <m:sty m:val="p"/>
              </m:rPr>
              <w:rPr>
                <w:rFonts w:ascii="Cambria Math" w:hAnsi="Cambria Math"/>
              </w:rPr>
              <m:t>间</m:t>
            </m:r>
            <m:r>
              <m:rPr/>
              <w:rPr>
                <w:rFonts w:ascii="Cambria Math" w:hAnsi="Cambria Math"/>
              </w:rPr>
              <m:t>,j</m:t>
            </m:r>
          </m:sub>
        </m:sSub>
        <m:r>
          <m:rPr/>
          <w:rPr>
            <w:rFonts w:ascii="Cambria Math" w:hAnsi="Cambria Math"/>
          </w:rPr>
          <m:t>×E</m:t>
        </m:r>
        <m:sSub>
          <m:sSubPr/>
          <m:e>
            <m:r>
              <m:rPr/>
              <w:rPr>
                <w:rFonts w:ascii="Cambria Math" w:hAnsi="Cambria Math"/>
              </w:rPr>
              <m:t>F</m:t>
            </m:r>
          </m:e>
          <m:sub>
            <m:r>
              <m:rPr>
                <m:sty m:val="p"/>
              </m:rPr>
              <w:rPr>
                <w:rFonts w:ascii="Cambria Math" w:hAnsi="Cambria Math"/>
              </w:rPr>
              <m:t>间</m:t>
            </m:r>
            <m:r>
              <m:rPr/>
              <w:rPr>
                <w:rFonts w:ascii="Cambria Math" w:hAnsi="Cambria Math"/>
              </w:rPr>
              <m:t>,j</m:t>
            </m:r>
          </m:sub>
        </m:sSub>
      </m:oMath>
      <w:r>
        <w:rPr>
          <w:rFonts w:ascii="Arial" w:hAnsi="Arial" w:eastAsia="等线" w:cs="Arial"/>
          <w:sz w:val="22"/>
        </w:rPr>
        <w:t>（7.3.</w:t>
      </w:r>
      <w:r>
        <w:rPr>
          <w:rFonts w:hint="eastAsia" w:eastAsia="等线" w:cs="Arial"/>
          <w:sz w:val="22"/>
          <w:lang w:val="en-US" w:eastAsia="zh-CN"/>
        </w:rPr>
        <w:t>4</w:t>
      </w:r>
      <w:r>
        <w:rPr>
          <w:rFonts w:ascii="Arial" w:hAnsi="Arial" w:eastAsia="等线" w:cs="Arial"/>
          <w:sz w:val="22"/>
        </w:rPr>
        <w:t>-</w:t>
      </w:r>
      <w:r>
        <w:rPr>
          <w:rFonts w:hint="eastAsia" w:eastAsia="等线" w:cs="Arial"/>
          <w:sz w:val="22"/>
          <w:lang w:val="en-US" w:eastAsia="zh-CN"/>
        </w:rPr>
        <w:t>2</w:t>
      </w:r>
      <w:r>
        <w:rPr>
          <w:rFonts w:ascii="Arial" w:hAnsi="Arial" w:eastAsia="等线" w:cs="Arial"/>
          <w:sz w:val="22"/>
        </w:rPr>
        <w:t>）</w:t>
      </w:r>
      <w:r>
        <w:rPr>
          <w:rFonts w:ascii="Arial" w:hAnsi="Arial" w:eastAsia="等线" w:cs="Arial"/>
          <w:snapToGrid/>
          <w:kern w:val="0"/>
          <w:sz w:val="22"/>
          <w:szCs w:val="22"/>
        </w:rPr>
        <w:br w:type="textWrapping"/>
      </w:r>
      <w:r>
        <w:rPr>
          <w:rFonts w:ascii="Arial" w:hAnsi="Arial" w:eastAsia="等线" w:cs="Arial"/>
          <w:snapToGrid/>
          <w:kern w:val="0"/>
          <w:sz w:val="22"/>
          <w:szCs w:val="22"/>
        </w:rPr>
        <w:br w:type="textWrapping"/>
      </w:r>
      <w:r>
        <w:rPr>
          <w:rFonts w:ascii="Arial" w:hAnsi="Arial" w:eastAsia="等线" w:cs="Arial"/>
          <w:snapToGrid/>
          <w:kern w:val="0"/>
          <w:sz w:val="22"/>
          <w:szCs w:val="22"/>
        </w:rPr>
        <w:t>式中：</w:t>
      </w:r>
      <w:r>
        <w:rPr>
          <w:rFonts w:ascii="Arial" w:hAnsi="Arial" w:eastAsia="等线" w:cs="Arial"/>
          <w:snapToGrid/>
          <w:kern w:val="0"/>
          <w:sz w:val="22"/>
          <w:szCs w:val="22"/>
        </w:rPr>
        <w:br w:type="textWrapping"/>
      </w:r>
      <m:oMath>
        <m:sSub>
          <m:sSubPr/>
          <m:e>
            <m:r>
              <m:rPr/>
              <w:rPr>
                <w:rFonts w:ascii="Cambria Math" w:hAnsi="Cambria Math"/>
              </w:rPr>
              <m:t>E</m:t>
            </m:r>
          </m:e>
          <m:sub>
            <m:r>
              <m:rPr>
                <m:sty m:val="p"/>
              </m:rPr>
              <w:rPr>
                <w:rFonts w:ascii="Cambria Math" w:hAnsi="Cambria Math"/>
              </w:rPr>
              <m:t>间</m:t>
            </m:r>
            <m:r>
              <m:rPr/>
              <w:rPr>
                <w:rFonts w:ascii="Cambria Math" w:hAnsi="Cambria Math"/>
              </w:rPr>
              <m:t>,j</m:t>
            </m:r>
          </m:sub>
        </m:sSub>
      </m:oMath>
      <w:r>
        <w:rPr>
          <w:rFonts w:ascii="Arial" w:hAnsi="Arial" w:eastAsia="等线" w:cs="Arial"/>
          <w:snapToGrid/>
          <w:kern w:val="0"/>
          <w:sz w:val="22"/>
          <w:szCs w:val="22"/>
        </w:rPr>
        <w:t>—— 第</w:t>
      </w:r>
      <m:oMath>
        <m:r>
          <m:rPr/>
          <w:rPr>
            <w:rFonts w:ascii="Cambria Math" w:hAnsi="Cambria Math"/>
          </w:rPr>
          <m:t>j</m:t>
        </m:r>
      </m:oMath>
      <w:r>
        <w:rPr>
          <w:rFonts w:ascii="Arial" w:hAnsi="Arial" w:eastAsia="等线" w:cs="Arial"/>
          <w:snapToGrid/>
          <w:kern w:val="0"/>
          <w:sz w:val="22"/>
          <w:szCs w:val="22"/>
        </w:rPr>
        <w:t>项间接排放碳排放量（</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oMath>
      <w:r>
        <w:rPr>
          <w:rFonts w:ascii="Arial" w:hAnsi="Arial" w:eastAsia="等线" w:cs="Arial"/>
          <w:snapToGrid/>
          <w:kern w:val="0"/>
          <w:sz w:val="22"/>
          <w:szCs w:val="22"/>
        </w:rPr>
        <w:t>）；</w:t>
      </w:r>
      <w:r>
        <w:rPr>
          <w:rFonts w:ascii="Arial" w:hAnsi="Arial" w:eastAsia="等线" w:cs="Arial"/>
          <w:snapToGrid/>
          <w:kern w:val="0"/>
          <w:sz w:val="22"/>
          <w:szCs w:val="22"/>
        </w:rPr>
        <w:br w:type="textWrapping"/>
      </w:r>
      <m:oMath>
        <m:r>
          <m:rPr/>
          <w:rPr>
            <w:rFonts w:ascii="Cambria Math" w:hAnsi="Cambria Math"/>
          </w:rPr>
          <m:t>A</m:t>
        </m:r>
        <m:sSub>
          <m:sSubPr/>
          <m:e>
            <m:r>
              <m:rPr/>
              <w:rPr>
                <w:rFonts w:ascii="Cambria Math" w:hAnsi="Cambria Math"/>
              </w:rPr>
              <m:t>D</m:t>
            </m:r>
          </m:e>
          <m:sub>
            <m:r>
              <m:rPr>
                <m:sty m:val="p"/>
              </m:rPr>
              <w:rPr>
                <w:rFonts w:ascii="Cambria Math" w:hAnsi="Cambria Math"/>
              </w:rPr>
              <m:t>间</m:t>
            </m:r>
            <m:r>
              <m:rPr/>
              <w:rPr>
                <w:rFonts w:ascii="Cambria Math" w:hAnsi="Cambria Math"/>
              </w:rPr>
              <m:t>,j</m:t>
            </m:r>
          </m:sub>
        </m:sSub>
      </m:oMath>
      <w:r>
        <w:rPr>
          <w:rFonts w:ascii="Arial" w:hAnsi="Arial" w:eastAsia="等线" w:cs="Arial"/>
          <w:snapToGrid/>
          <w:kern w:val="0"/>
          <w:sz w:val="22"/>
          <w:szCs w:val="22"/>
        </w:rPr>
        <w:t>—— 第</w:t>
      </w:r>
      <m:oMath>
        <m:r>
          <m:rPr/>
          <w:rPr>
            <w:rFonts w:ascii="Cambria Math" w:hAnsi="Cambria Math"/>
          </w:rPr>
          <m:t>j</m:t>
        </m:r>
      </m:oMath>
      <w:r>
        <w:rPr>
          <w:rFonts w:ascii="Arial" w:hAnsi="Arial" w:eastAsia="等线" w:cs="Arial"/>
          <w:snapToGrid/>
          <w:kern w:val="0"/>
          <w:sz w:val="22"/>
          <w:szCs w:val="22"/>
        </w:rPr>
        <w:t>项间接排放活动数据；</w:t>
      </w:r>
      <w:r>
        <w:rPr>
          <w:rFonts w:ascii="Arial" w:hAnsi="Arial" w:eastAsia="等线" w:cs="Arial"/>
          <w:snapToGrid/>
          <w:kern w:val="0"/>
          <w:sz w:val="22"/>
          <w:szCs w:val="22"/>
        </w:rPr>
        <w:br w:type="textWrapping"/>
      </w:r>
      <m:oMath>
        <m:r>
          <m:rPr/>
          <w:rPr>
            <w:rFonts w:ascii="Cambria Math" w:hAnsi="Cambria Math"/>
          </w:rPr>
          <m:t>E</m:t>
        </m:r>
        <m:sSub>
          <m:sSubPr/>
          <m:e>
            <m:r>
              <m:rPr/>
              <w:rPr>
                <w:rFonts w:ascii="Cambria Math" w:hAnsi="Cambria Math"/>
              </w:rPr>
              <m:t>F</m:t>
            </m:r>
          </m:e>
          <m:sub>
            <m:r>
              <m:rPr>
                <m:sty m:val="p"/>
              </m:rPr>
              <w:rPr>
                <w:rFonts w:ascii="Cambria Math" w:hAnsi="Cambria Math"/>
              </w:rPr>
              <m:t>间</m:t>
            </m:r>
            <m:r>
              <m:rPr/>
              <w:rPr>
                <w:rFonts w:ascii="Cambria Math" w:hAnsi="Cambria Math"/>
              </w:rPr>
              <m:t>,j</m:t>
            </m:r>
          </m:sub>
        </m:sSub>
      </m:oMath>
      <w:r>
        <w:rPr>
          <w:rFonts w:ascii="Arial" w:hAnsi="Arial" w:eastAsia="等线" w:cs="Arial"/>
          <w:snapToGrid/>
          <w:kern w:val="0"/>
          <w:sz w:val="22"/>
          <w:szCs w:val="22"/>
        </w:rPr>
        <w:t>—— 对应间接排放因子，外购电力优先采用项目所在地电网年度平均排放因子</w:t>
      </w:r>
      <w:r>
        <w:rPr>
          <w:rFonts w:hint="eastAsia" w:ascii="Times New Roman" w:hAnsi="Times New Roman" w:eastAsia="宋体" w:cs="Arial"/>
          <w:snapToGrid/>
          <w:color w:val="000000"/>
          <w:kern w:val="0"/>
          <w:sz w:val="24"/>
          <w:szCs w:val="21"/>
          <w:lang w:val="en-US" w:eastAsia="zh-CN" w:bidi="ar"/>
        </w:rPr>
        <w:t>。</w:t>
      </w:r>
    </w:p>
    <w:p w14:paraId="0F0A46CF">
      <w:pPr>
        <w:numPr>
          <w:ilvl w:val="0"/>
          <w:numId w:val="3"/>
        </w:numPr>
        <w:spacing w:before="120" w:after="120" w:line="288" w:lineRule="auto"/>
        <w:ind w:left="0"/>
        <w:jc w:val="left"/>
        <w:rPr>
          <w:rFonts w:hint="eastAsia" w:ascii="Arial" w:hAnsi="Arial" w:eastAsia="等线" w:cs="Arial"/>
          <w:sz w:val="22"/>
          <w:lang w:val="en-US" w:eastAsia="zh-CN"/>
        </w:rPr>
      </w:pPr>
      <w:r>
        <w:rPr>
          <w:rFonts w:hint="default" w:ascii="Arial" w:hAnsi="Arial" w:eastAsia="等线" w:cs="Arial"/>
          <w:sz w:val="22"/>
          <w:lang w:eastAsia="zh-CN"/>
        </w:rPr>
        <w:t>直接、间接排放汇总公式</w:t>
      </w:r>
    </w:p>
    <w:p w14:paraId="5DEB5B0E">
      <w:pPr>
        <w:widowControl/>
        <w:numPr>
          <w:ilvl w:val="0"/>
          <w:numId w:val="5"/>
        </w:numPr>
        <w:bidi w:val="0"/>
        <w:ind w:left="416" w:hanging="416"/>
      </w:pPr>
      <w:r>
        <w:rPr>
          <w:rFonts w:ascii="Arial" w:hAnsi="Arial" w:eastAsia="等线" w:cs="Arial"/>
          <w:sz w:val="22"/>
        </w:rPr>
        <w:t>施工阶段直接碳排放总量</w:t>
      </w:r>
      <w:r>
        <w:rPr>
          <w:rFonts w:ascii="Arial" w:hAnsi="Arial" w:eastAsia="等线" w:cs="Arial"/>
          <w:sz w:val="22"/>
        </w:rPr>
        <w:br w:type="textWrapping"/>
      </w:r>
      <m:oMath>
        <m:sSub>
          <m:sSubPr/>
          <m:e>
            <m:r>
              <m:rPr/>
              <w:rPr>
                <w:rFonts w:ascii="Cambria Math" w:hAnsi="Cambria Math"/>
              </w:rPr>
              <m:t>E</m:t>
            </m:r>
          </m:e>
          <m:sub>
            <m:r>
              <m:rPr>
                <m:sty m:val="p"/>
              </m:rPr>
              <w:rPr>
                <w:rFonts w:ascii="Cambria Math" w:hAnsi="Cambria Math"/>
              </w:rPr>
              <m:t>直总</m:t>
            </m:r>
          </m:sub>
        </m:sSub>
        <m:r>
          <m:rPr/>
          <w:rPr>
            <w:rFonts w:ascii="Cambria Math" w:hAnsi="Cambria Math"/>
          </w:rPr>
          <m:t>=</m:t>
        </m:r>
        <m:nary>
          <m:naryPr>
            <m:chr m:val="∑"/>
            <m:grow m:val="1"/>
            <m:limLoc m:val="undOvr"/>
          </m:naryPr>
          <m:sub>
            <m:r>
              <m:rPr/>
              <w:rPr>
                <w:rFonts w:ascii="Cambria Math" w:hAnsi="Cambria Math"/>
              </w:rPr>
              <m:t>i=1</m:t>
            </m:r>
          </m:sub>
          <m:sup>
            <m:r>
              <m:rPr/>
              <w:rPr>
                <w:rFonts w:ascii="Cambria Math" w:hAnsi="Cambria Math"/>
              </w:rPr>
              <m:t>n</m:t>
            </m:r>
          </m:sup>
          <m:e/>
        </m:nary>
        <m:sSub>
          <m:sSubPr/>
          <m:e>
            <m:r>
              <m:rPr/>
              <w:rPr>
                <w:rFonts w:ascii="Cambria Math" w:hAnsi="Cambria Math"/>
              </w:rPr>
              <m:t>E</m:t>
            </m:r>
          </m:e>
          <m:sub>
            <m:r>
              <m:rPr>
                <m:sty m:val="p"/>
              </m:rPr>
              <w:rPr>
                <w:rFonts w:ascii="Cambria Math" w:hAnsi="Cambria Math"/>
              </w:rPr>
              <m:t>直</m:t>
            </m:r>
            <m:r>
              <m:rPr/>
              <w:rPr>
                <w:rFonts w:ascii="Cambria Math" w:hAnsi="Cambria Math"/>
              </w:rPr>
              <m:t>,i</m:t>
            </m:r>
          </m:sub>
        </m:sSub>
        <m:r>
          <m:rPr/>
          <w:rPr>
            <w:rFonts w:ascii="Cambria Math" w:hAnsi="Cambria Math"/>
          </w:rPr>
          <m:t>=</m:t>
        </m:r>
        <m:nary>
          <m:naryPr>
            <m:chr m:val="∑"/>
            <m:grow m:val="1"/>
            <m:limLoc m:val="undOvr"/>
          </m:naryPr>
          <m:sub>
            <m:r>
              <m:rPr/>
              <w:rPr>
                <w:rFonts w:ascii="Cambria Math" w:hAnsi="Cambria Math"/>
              </w:rPr>
              <m:t>i=1</m:t>
            </m:r>
          </m:sub>
          <m:sup>
            <m:r>
              <m:rPr/>
              <w:rPr>
                <w:rFonts w:ascii="Cambria Math" w:hAnsi="Cambria Math"/>
              </w:rPr>
              <m:t>n</m:t>
            </m:r>
          </m:sup>
          <m:e>
            <m:r>
              <m:rPr/>
              <w:rPr>
                <w:rFonts w:ascii="Cambria Math" w:hAnsi="Cambria Math"/>
              </w:rPr>
              <m:t>(A</m:t>
            </m:r>
            <m:sSub>
              <m:sSubPr/>
              <m:e>
                <m:r>
                  <m:rPr/>
                  <w:rPr>
                    <w:rFonts w:ascii="Cambria Math" w:hAnsi="Cambria Math"/>
                  </w:rPr>
                  <m:t>D</m:t>
                </m:r>
              </m:e>
              <m:sub>
                <m:r>
                  <m:rPr>
                    <m:sty m:val="p"/>
                  </m:rPr>
                  <w:rPr>
                    <w:rFonts w:ascii="Cambria Math" w:hAnsi="Cambria Math"/>
                  </w:rPr>
                  <m:t>直</m:t>
                </m:r>
                <m:r>
                  <m:rPr/>
                  <w:rPr>
                    <w:rFonts w:ascii="Cambria Math" w:hAnsi="Cambria Math"/>
                  </w:rPr>
                  <m:t>,i</m:t>
                </m:r>
              </m:sub>
            </m:sSub>
            <m:r>
              <m:rPr/>
              <w:rPr>
                <w:rFonts w:ascii="Cambria Math" w:hAnsi="Cambria Math"/>
              </w:rPr>
              <m:t>×E</m:t>
            </m:r>
            <m:sSub>
              <m:sSubPr/>
              <m:e>
                <m:r>
                  <m:rPr/>
                  <w:rPr>
                    <w:rFonts w:ascii="Cambria Math" w:hAnsi="Cambria Math"/>
                  </w:rPr>
                  <m:t>F</m:t>
                </m:r>
              </m:e>
              <m:sub>
                <m:r>
                  <m:rPr>
                    <m:sty m:val="p"/>
                  </m:rPr>
                  <w:rPr>
                    <w:rFonts w:ascii="Cambria Math" w:hAnsi="Cambria Math"/>
                  </w:rPr>
                  <m:t>直</m:t>
                </m:r>
                <m:r>
                  <m:rPr/>
                  <w:rPr>
                    <w:rFonts w:ascii="Cambria Math" w:hAnsi="Cambria Math"/>
                  </w:rPr>
                  <m:t>,i</m:t>
                </m:r>
              </m:sub>
            </m:sSub>
            <m:r>
              <m:rPr/>
              <w:rPr>
                <w:rFonts w:ascii="Cambria Math" w:hAnsi="Cambria Math"/>
              </w:rPr>
              <m:t>)</m:t>
            </m:r>
          </m:e>
        </m:nary>
      </m:oMath>
      <w:r>
        <w:rPr>
          <w:rFonts w:hint="eastAsia" w:eastAsia="宋体"/>
          <w:i w:val="0"/>
          <w:lang w:val="en-US" w:eastAsia="zh-CN"/>
        </w:rPr>
        <w:t xml:space="preserve">  </w:t>
      </w:r>
      <w:r>
        <w:rPr>
          <w:rFonts w:ascii="Arial" w:hAnsi="Arial" w:eastAsia="等线" w:cs="Arial"/>
          <w:sz w:val="22"/>
        </w:rPr>
        <w:t>（7.3.</w:t>
      </w:r>
      <w:r>
        <w:rPr>
          <w:rFonts w:hint="eastAsia" w:eastAsia="等线" w:cs="Arial"/>
          <w:sz w:val="22"/>
          <w:lang w:val="en-US" w:eastAsia="zh-CN"/>
        </w:rPr>
        <w:t>4</w:t>
      </w:r>
      <w:r>
        <w:rPr>
          <w:rFonts w:ascii="Arial" w:hAnsi="Arial" w:eastAsia="等线" w:cs="Arial"/>
          <w:sz w:val="22"/>
        </w:rPr>
        <w:t>-</w:t>
      </w:r>
      <w:r>
        <w:rPr>
          <w:rFonts w:hint="eastAsia" w:eastAsia="等线" w:cs="Arial"/>
          <w:sz w:val="22"/>
          <w:lang w:val="en-US" w:eastAsia="zh-CN"/>
        </w:rPr>
        <w:t>3</w:t>
      </w:r>
      <w:r>
        <w:rPr>
          <w:rFonts w:ascii="Arial" w:hAnsi="Arial" w:eastAsia="等线" w:cs="Arial"/>
          <w:sz w:val="22"/>
        </w:rPr>
        <w:t>）</w:t>
      </w:r>
      <w:r>
        <w:rPr>
          <w:rFonts w:ascii="Arial" w:hAnsi="Arial" w:eastAsia="等线" w:cs="Arial"/>
          <w:sz w:val="22"/>
        </w:rPr>
        <w:br w:type="textWrapping"/>
      </w:r>
      <m:oMath>
        <m:r>
          <m:rPr/>
          <w:rPr>
            <w:rFonts w:ascii="Cambria Math" w:hAnsi="Cambria Math"/>
          </w:rPr>
          <m:t>n</m:t>
        </m:r>
      </m:oMath>
      <w:r>
        <w:rPr>
          <w:rFonts w:ascii="Arial" w:hAnsi="Arial" w:eastAsia="等线" w:cs="Arial"/>
          <w:sz w:val="22"/>
        </w:rPr>
        <w:t>：直接碳排放源总数量。</w:t>
      </w:r>
    </w:p>
    <w:p w14:paraId="54EF048E">
      <w:pPr>
        <w:widowControl/>
        <w:numPr>
          <w:ilvl w:val="0"/>
          <w:numId w:val="0"/>
        </w:numPr>
        <w:kinsoku w:val="0"/>
        <w:autoSpaceDE w:val="0"/>
        <w:autoSpaceDN w:val="0"/>
        <w:bidi w:val="0"/>
        <w:adjustRightInd w:val="0"/>
        <w:snapToGrid w:val="0"/>
        <w:spacing w:line="240" w:lineRule="auto"/>
        <w:jc w:val="left"/>
        <w:textAlignment w:val="baseline"/>
      </w:pPr>
    </w:p>
    <w:p w14:paraId="0DE9A32A">
      <w:pPr>
        <w:widowControl/>
        <w:numPr>
          <w:ilvl w:val="0"/>
          <w:numId w:val="5"/>
        </w:numPr>
        <w:bidi w:val="0"/>
        <w:ind w:left="416" w:hanging="416"/>
      </w:pPr>
      <w:r>
        <w:rPr>
          <w:rFonts w:ascii="Arial" w:hAnsi="Arial" w:eastAsia="等线" w:cs="Arial"/>
          <w:sz w:val="22"/>
        </w:rPr>
        <w:t>施工阶段间接碳排放总量</w:t>
      </w:r>
      <w:r>
        <w:rPr>
          <w:rFonts w:ascii="Arial" w:hAnsi="Arial" w:eastAsia="等线" w:cs="Arial"/>
          <w:sz w:val="22"/>
        </w:rPr>
        <w:br w:type="textWrapping"/>
      </w:r>
      <m:oMath>
        <m:sSub>
          <m:sSubPr/>
          <m:e>
            <m:r>
              <m:rPr/>
              <w:rPr>
                <w:rFonts w:ascii="Cambria Math" w:hAnsi="Cambria Math"/>
              </w:rPr>
              <m:t>E</m:t>
            </m:r>
          </m:e>
          <m:sub>
            <m:r>
              <m:rPr>
                <m:sty m:val="p"/>
              </m:rPr>
              <w:rPr>
                <w:rFonts w:ascii="Cambria Math" w:hAnsi="Cambria Math"/>
              </w:rPr>
              <m:t>间总</m:t>
            </m:r>
          </m:sub>
        </m:sSub>
        <m:r>
          <m:rPr/>
          <w:rPr>
            <w:rFonts w:ascii="Cambria Math" w:hAnsi="Cambria Math"/>
          </w:rPr>
          <m:t>=</m:t>
        </m:r>
        <m:nary>
          <m:naryPr>
            <m:chr m:val="∑"/>
            <m:grow m:val="1"/>
            <m:limLoc m:val="undOvr"/>
          </m:naryPr>
          <m:sub>
            <m:r>
              <m:rPr/>
              <w:rPr>
                <w:rFonts w:ascii="Cambria Math" w:hAnsi="Cambria Math"/>
              </w:rPr>
              <m:t>j=1</m:t>
            </m:r>
          </m:sub>
          <m:sup>
            <m:r>
              <m:rPr/>
              <w:rPr>
                <w:rFonts w:ascii="Cambria Math" w:hAnsi="Cambria Math"/>
              </w:rPr>
              <m:t>m</m:t>
            </m:r>
          </m:sup>
          <m:e/>
        </m:nary>
        <m:sSub>
          <m:sSubPr/>
          <m:e>
            <m:r>
              <m:rPr/>
              <w:rPr>
                <w:rFonts w:ascii="Cambria Math" w:hAnsi="Cambria Math"/>
              </w:rPr>
              <m:t>E</m:t>
            </m:r>
          </m:e>
          <m:sub>
            <m:r>
              <m:rPr>
                <m:sty m:val="p"/>
              </m:rPr>
              <w:rPr>
                <w:rFonts w:ascii="Cambria Math" w:hAnsi="Cambria Math"/>
              </w:rPr>
              <m:t>间</m:t>
            </m:r>
            <m:r>
              <m:rPr/>
              <w:rPr>
                <w:rFonts w:ascii="Cambria Math" w:hAnsi="Cambria Math"/>
              </w:rPr>
              <m:t>,j</m:t>
            </m:r>
          </m:sub>
        </m:sSub>
        <m:r>
          <m:rPr/>
          <w:rPr>
            <w:rFonts w:ascii="Cambria Math" w:hAnsi="Cambria Math"/>
          </w:rPr>
          <m:t>=</m:t>
        </m:r>
        <m:nary>
          <m:naryPr>
            <m:chr m:val="∑"/>
            <m:grow m:val="1"/>
            <m:limLoc m:val="undOvr"/>
          </m:naryPr>
          <m:sub>
            <m:r>
              <m:rPr/>
              <w:rPr>
                <w:rFonts w:ascii="Cambria Math" w:hAnsi="Cambria Math"/>
              </w:rPr>
              <m:t>j=1</m:t>
            </m:r>
          </m:sub>
          <m:sup>
            <m:r>
              <m:rPr/>
              <w:rPr>
                <w:rFonts w:ascii="Cambria Math" w:hAnsi="Cambria Math"/>
              </w:rPr>
              <m:t>m</m:t>
            </m:r>
          </m:sup>
          <m:e>
            <m:r>
              <m:rPr/>
              <w:rPr>
                <w:rFonts w:ascii="Cambria Math" w:hAnsi="Cambria Math"/>
              </w:rPr>
              <m:t>(A</m:t>
            </m:r>
            <m:sSub>
              <m:sSubPr/>
              <m:e>
                <m:r>
                  <m:rPr/>
                  <w:rPr>
                    <w:rFonts w:ascii="Cambria Math" w:hAnsi="Cambria Math"/>
                  </w:rPr>
                  <m:t>D</m:t>
                </m:r>
              </m:e>
              <m:sub>
                <m:r>
                  <m:rPr>
                    <m:sty m:val="p"/>
                  </m:rPr>
                  <w:rPr>
                    <w:rFonts w:ascii="Cambria Math" w:hAnsi="Cambria Math"/>
                  </w:rPr>
                  <m:t>间</m:t>
                </m:r>
                <m:r>
                  <m:rPr/>
                  <w:rPr>
                    <w:rFonts w:ascii="Cambria Math" w:hAnsi="Cambria Math"/>
                  </w:rPr>
                  <m:t>,j</m:t>
                </m:r>
              </m:sub>
            </m:sSub>
            <m:r>
              <m:rPr/>
              <w:rPr>
                <w:rFonts w:ascii="Cambria Math" w:hAnsi="Cambria Math"/>
              </w:rPr>
              <m:t>×E</m:t>
            </m:r>
            <m:sSub>
              <m:sSubPr/>
              <m:e>
                <m:r>
                  <m:rPr/>
                  <w:rPr>
                    <w:rFonts w:ascii="Cambria Math" w:hAnsi="Cambria Math"/>
                  </w:rPr>
                  <m:t>F</m:t>
                </m:r>
              </m:e>
              <m:sub>
                <m:r>
                  <m:rPr>
                    <m:sty m:val="p"/>
                  </m:rPr>
                  <w:rPr>
                    <w:rFonts w:ascii="Cambria Math" w:hAnsi="Cambria Math"/>
                  </w:rPr>
                  <m:t>间</m:t>
                </m:r>
                <m:r>
                  <m:rPr/>
                  <w:rPr>
                    <w:rFonts w:ascii="Cambria Math" w:hAnsi="Cambria Math"/>
                  </w:rPr>
                  <m:t>,j</m:t>
                </m:r>
              </m:sub>
            </m:sSub>
            <m:r>
              <m:rPr/>
              <w:rPr>
                <w:rFonts w:ascii="Cambria Math" w:hAnsi="Cambria Math"/>
              </w:rPr>
              <m:t>)</m:t>
            </m:r>
          </m:e>
        </m:nary>
      </m:oMath>
      <w:r>
        <w:rPr>
          <w:rFonts w:hint="eastAsia" w:eastAsia="宋体"/>
          <w:i w:val="0"/>
          <w:lang w:val="en-US" w:eastAsia="zh-CN"/>
        </w:rPr>
        <w:t xml:space="preserve">   </w:t>
      </w:r>
      <w:r>
        <w:rPr>
          <w:rFonts w:ascii="Arial" w:hAnsi="Arial" w:eastAsia="等线" w:cs="Arial"/>
          <w:sz w:val="22"/>
        </w:rPr>
        <w:t>（7.3.</w:t>
      </w:r>
      <w:r>
        <w:rPr>
          <w:rFonts w:hint="eastAsia" w:eastAsia="等线" w:cs="Arial"/>
          <w:sz w:val="22"/>
          <w:lang w:val="en-US" w:eastAsia="zh-CN"/>
        </w:rPr>
        <w:t>4</w:t>
      </w:r>
      <w:r>
        <w:rPr>
          <w:rFonts w:ascii="Arial" w:hAnsi="Arial" w:eastAsia="等线" w:cs="Arial"/>
          <w:sz w:val="22"/>
        </w:rPr>
        <w:t>-</w:t>
      </w:r>
      <w:r>
        <w:rPr>
          <w:rFonts w:hint="eastAsia" w:eastAsia="等线" w:cs="Arial"/>
          <w:sz w:val="22"/>
          <w:lang w:val="en-US" w:eastAsia="zh-CN"/>
        </w:rPr>
        <w:t>4</w:t>
      </w:r>
      <w:r>
        <w:rPr>
          <w:rFonts w:ascii="Arial" w:hAnsi="Arial" w:eastAsia="等线" w:cs="Arial"/>
          <w:sz w:val="22"/>
        </w:rPr>
        <w:t>）</w:t>
      </w:r>
      <w:r>
        <w:rPr>
          <w:rFonts w:ascii="Arial" w:hAnsi="Arial" w:eastAsia="等线" w:cs="Arial"/>
          <w:sz w:val="22"/>
        </w:rPr>
        <w:br w:type="textWrapping"/>
      </w:r>
      <m:oMath>
        <m:r>
          <m:rPr/>
          <w:rPr>
            <w:rFonts w:ascii="Cambria Math" w:hAnsi="Cambria Math"/>
          </w:rPr>
          <m:t>m</m:t>
        </m:r>
      </m:oMath>
      <w:r>
        <w:rPr>
          <w:rFonts w:ascii="Arial" w:hAnsi="Arial" w:eastAsia="等线" w:cs="Arial"/>
          <w:sz w:val="22"/>
        </w:rPr>
        <w:t>：间接碳排放源总数量。</w:t>
      </w:r>
    </w:p>
    <w:p w14:paraId="4052B902">
      <w:pPr>
        <w:numPr>
          <w:ilvl w:val="0"/>
          <w:numId w:val="3"/>
        </w:numPr>
        <w:spacing w:before="120" w:after="120" w:line="288" w:lineRule="auto"/>
        <w:ind w:left="0"/>
        <w:jc w:val="left"/>
      </w:pPr>
      <w:r>
        <w:rPr>
          <w:rFonts w:hint="default" w:ascii="Arial" w:hAnsi="Arial" w:eastAsia="等线" w:cs="Arial"/>
          <w:sz w:val="22"/>
          <w:lang w:eastAsia="zh-CN"/>
        </w:rPr>
        <w:t>施工阶段原始总碳排放量（未碳抵消）</w:t>
      </w:r>
    </w:p>
    <w:p w14:paraId="740FF874">
      <w:pPr>
        <w:spacing w:before="120" w:after="120" w:line="288" w:lineRule="auto"/>
        <w:ind w:left="0"/>
        <w:jc w:val="left"/>
        <w:rPr>
          <w:rFonts w:ascii="Arial" w:hAnsi="Arial" w:eastAsia="等线" w:cs="Arial"/>
          <w:sz w:val="22"/>
        </w:rPr>
      </w:pPr>
      <m:oMath>
        <m:m>
          <m:mPr>
            <m:mcs>
              <m:mc>
                <m:mcPr>
                  <m:count m:val="1"/>
                  <m:mcJc m:val="center"/>
                </m:mcPr>
              </m:mc>
            </m:mcs>
            <m:plcHide m:val="1"/>
          </m:mPr>
          <m:mr>
            <m:e>
              <m:sSub>
                <m:sSubPr/>
                <m:e>
                  <m:r>
                    <m:rPr/>
                    <w:rPr>
                      <w:rFonts w:ascii="Cambria Math" w:hAnsi="Cambria Math"/>
                    </w:rPr>
                    <m:t>E</m:t>
                  </m:r>
                </m:e>
                <m:sub>
                  <m:r>
                    <m:rPr>
                      <m:sty m:val="p"/>
                    </m:rPr>
                    <w:rPr>
                      <w:rFonts w:ascii="Cambria Math" w:hAnsi="Cambria Math"/>
                    </w:rPr>
                    <m:t>总</m:t>
                  </m:r>
                </m:sub>
              </m:sSub>
              <m:r>
                <m:rPr/>
                <w:rPr>
                  <w:rFonts w:ascii="Cambria Math" w:hAnsi="Cambria Math"/>
                </w:rPr>
                <m:t>=</m:t>
              </m:r>
              <m:sSub>
                <m:sSubPr/>
                <m:e>
                  <m:r>
                    <m:rPr/>
                    <w:rPr>
                      <w:rFonts w:ascii="Cambria Math" w:hAnsi="Cambria Math"/>
                    </w:rPr>
                    <m:t>E</m:t>
                  </m:r>
                </m:e>
                <m:sub>
                  <m:r>
                    <m:rPr>
                      <m:sty m:val="p"/>
                    </m:rPr>
                    <w:rPr>
                      <w:rFonts w:ascii="Cambria Math" w:hAnsi="Cambria Math"/>
                    </w:rPr>
                    <m:t>直总</m:t>
                  </m:r>
                </m:sub>
              </m:sSub>
              <m:r>
                <m:rPr/>
                <w:rPr>
                  <w:rFonts w:ascii="Cambria Math" w:hAnsi="Cambria Math"/>
                </w:rPr>
                <m:t>+</m:t>
              </m:r>
              <m:sSub>
                <m:sSubPr/>
                <m:e>
                  <m:r>
                    <m:rPr/>
                    <w:rPr>
                      <w:rFonts w:ascii="Cambria Math" w:hAnsi="Cambria Math"/>
                    </w:rPr>
                    <m:t>E</m:t>
                  </m:r>
                </m:e>
                <m:sub>
                  <m:r>
                    <m:rPr>
                      <m:sty m:val="p"/>
                    </m:rPr>
                    <w:rPr>
                      <w:rFonts w:ascii="Cambria Math" w:hAnsi="Cambria Math"/>
                    </w:rPr>
                    <m:t>间总</m:t>
                  </m:r>
                </m:sub>
              </m:sSub>
            </m:e>
          </m:mr>
        </m:m>
      </m:oMath>
      <w:r>
        <w:rPr>
          <w:rFonts w:hint="eastAsia" w:eastAsia="宋体"/>
          <w:i w:val="0"/>
          <w:lang w:val="en-US" w:eastAsia="zh-CN"/>
        </w:rPr>
        <w:t xml:space="preserve">   </w:t>
      </w:r>
      <w:r>
        <w:rPr>
          <w:rFonts w:ascii="Arial" w:hAnsi="Arial" w:eastAsia="等线" w:cs="Arial"/>
          <w:sz w:val="22"/>
        </w:rPr>
        <w:t>（7.3.</w:t>
      </w:r>
      <w:r>
        <w:rPr>
          <w:rFonts w:hint="eastAsia" w:eastAsia="等线" w:cs="Arial"/>
          <w:sz w:val="22"/>
          <w:lang w:val="en-US" w:eastAsia="zh-CN"/>
        </w:rPr>
        <w:t>4</w:t>
      </w:r>
      <w:r>
        <w:rPr>
          <w:rFonts w:ascii="Arial" w:hAnsi="Arial" w:eastAsia="等线" w:cs="Arial"/>
          <w:sz w:val="22"/>
        </w:rPr>
        <w:t>-</w:t>
      </w:r>
      <w:r>
        <w:rPr>
          <w:rFonts w:hint="eastAsia" w:eastAsia="等线" w:cs="Arial"/>
          <w:sz w:val="22"/>
          <w:lang w:val="en-US" w:eastAsia="zh-CN"/>
        </w:rPr>
        <w:t>5</w:t>
      </w:r>
      <w:r>
        <w:rPr>
          <w:rFonts w:ascii="Arial" w:hAnsi="Arial" w:eastAsia="等线" w:cs="Arial"/>
          <w:sz w:val="22"/>
        </w:rPr>
        <w:t>）</w:t>
      </w:r>
    </w:p>
    <w:p w14:paraId="43FD5FCE">
      <w:pPr>
        <w:spacing w:before="120" w:after="120" w:line="288" w:lineRule="auto"/>
        <w:ind w:left="0"/>
        <w:jc w:val="left"/>
      </w:pPr>
      <w:r>
        <w:rPr>
          <w:rFonts w:ascii="Arial" w:hAnsi="Arial" w:eastAsia="等线" w:cs="Arial"/>
          <w:sz w:val="22"/>
        </w:rPr>
        <w:t>式中：</w:t>
      </w:r>
      <w:r>
        <w:rPr>
          <w:rFonts w:ascii="Arial" w:hAnsi="Arial" w:eastAsia="等线" w:cs="Arial"/>
          <w:sz w:val="22"/>
        </w:rPr>
        <w:br w:type="textWrapping"/>
      </w:r>
      <m:oMath>
        <m:sSub>
          <m:sSubPr/>
          <m:e>
            <m:r>
              <m:rPr/>
              <w:rPr>
                <w:rFonts w:ascii="Cambria Math" w:hAnsi="Cambria Math"/>
              </w:rPr>
              <m:t>E</m:t>
            </m:r>
          </m:e>
          <m:sub>
            <m:r>
              <m:rPr>
                <m:sty m:val="p"/>
              </m:rPr>
              <w:rPr>
                <w:rFonts w:ascii="Cambria Math" w:hAnsi="Cambria Math"/>
              </w:rPr>
              <m:t>总</m:t>
            </m:r>
          </m:sub>
        </m:sSub>
      </m:oMath>
      <w:r>
        <w:rPr>
          <w:rFonts w:ascii="Arial" w:hAnsi="Arial" w:eastAsia="等线" w:cs="Arial"/>
          <w:sz w:val="22"/>
        </w:rPr>
        <w:t>—— 施工阶段未实施碳抵消前原始总碳排放量（</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oMath>
      <w:r>
        <w:rPr>
          <w:rFonts w:ascii="Arial" w:hAnsi="Arial" w:eastAsia="等线" w:cs="Arial"/>
          <w:sz w:val="22"/>
        </w:rPr>
        <w:t>）。</w:t>
      </w:r>
    </w:p>
    <w:p w14:paraId="11C3D03E">
      <w:pPr>
        <w:numPr>
          <w:ilvl w:val="0"/>
          <w:numId w:val="3"/>
        </w:numPr>
        <w:spacing w:before="120" w:after="120" w:line="288" w:lineRule="auto"/>
        <w:ind w:left="0"/>
        <w:jc w:val="left"/>
        <w:rPr>
          <w:rFonts w:hint="default" w:ascii="Arial" w:hAnsi="Arial" w:eastAsia="等线" w:cs="Arial"/>
          <w:sz w:val="22"/>
          <w:lang w:eastAsia="zh-CN"/>
        </w:rPr>
      </w:pPr>
      <w:r>
        <w:rPr>
          <w:rFonts w:hint="default" w:ascii="Arial" w:hAnsi="Arial" w:eastAsia="等线" w:cs="Arial"/>
          <w:sz w:val="22"/>
          <w:lang w:eastAsia="zh-CN"/>
        </w:rPr>
        <w:t>单位面积碳排放强度</w:t>
      </w:r>
    </w:p>
    <w:p w14:paraId="7ACBA696">
      <w:pPr>
        <w:spacing w:before="120" w:after="120" w:line="288" w:lineRule="auto"/>
        <w:ind w:left="0"/>
        <w:jc w:val="left"/>
        <w:rPr>
          <w:rFonts w:hint="default" w:ascii="Arial" w:hAnsi="Arial" w:eastAsia="等线" w:cs="Arial"/>
          <w:sz w:val="22"/>
          <w:lang w:eastAsia="zh-CN"/>
        </w:rPr>
      </w:pPr>
      <m:oMath>
        <m:m>
          <m:mPr>
            <m:mcs>
              <m:mc>
                <m:mcPr>
                  <m:count m:val="1"/>
                  <m:mcJc m:val="center"/>
                </m:mcPr>
              </m:mc>
            </m:mcs>
            <m:plcHide m:val="1"/>
          </m:mPr>
          <m:mr>
            <m:e>
              <m:sSub>
                <m:sSubPr/>
                <m:e>
                  <m:r>
                    <m:rPr/>
                    <w:rPr>
                      <w:rFonts w:ascii="Cambria Math" w:hAnsi="Cambria Math"/>
                    </w:rPr>
                    <m:t>E</m:t>
                  </m:r>
                </m:e>
                <m:sub>
                  <m:r>
                    <m:rPr>
                      <m:sty m:val="p"/>
                    </m:rPr>
                    <w:rPr>
                      <w:rFonts w:ascii="Cambria Math" w:hAnsi="Cambria Math"/>
                    </w:rPr>
                    <m:t>总强度</m:t>
                  </m:r>
                </m:sub>
              </m:sSub>
              <m:r>
                <m:rPr/>
                <w:rPr>
                  <w:rFonts w:ascii="Cambria Math" w:hAnsi="Cambria Math"/>
                </w:rPr>
                <m:t>=</m:t>
              </m:r>
              <m:f>
                <m:fPr/>
                <m:num>
                  <m:sSub>
                    <m:sSubPr/>
                    <m:e>
                      <m:r>
                        <m:rPr/>
                        <w:rPr>
                          <w:rFonts w:ascii="Cambria Math" w:hAnsi="Cambria Math"/>
                        </w:rPr>
                        <m:t>E</m:t>
                      </m:r>
                    </m:e>
                    <m:sub>
                      <m:r>
                        <m:rPr>
                          <m:sty m:val="p"/>
                        </m:rPr>
                        <w:rPr>
                          <w:rFonts w:ascii="Cambria Math" w:hAnsi="Cambria Math"/>
                        </w:rPr>
                        <m:t>总</m:t>
                      </m:r>
                    </m:sub>
                  </m:sSub>
                </m:num>
                <m:den>
                  <m:r>
                    <m:rPr/>
                    <w:rPr>
                      <w:rFonts w:hint="default" w:ascii="Cambria Math" w:hAnsi="Cambria Math" w:eastAsia="宋体"/>
                      <w:lang w:val="en-US" w:eastAsia="zh-CN"/>
                    </w:rPr>
                    <m:t>A</m:t>
                  </m:r>
                </m:den>
              </m:f>
            </m:e>
          </m:mr>
        </m:m>
      </m:oMath>
      <w:r>
        <w:rPr>
          <w:rFonts w:hint="eastAsia" w:eastAsia="宋体"/>
          <w:i w:val="0"/>
          <w:lang w:val="en-US" w:eastAsia="zh-CN"/>
        </w:rPr>
        <w:t xml:space="preserve">       </w:t>
      </w:r>
      <w:r>
        <w:rPr>
          <w:rFonts w:ascii="Arial" w:hAnsi="Arial" w:eastAsia="等线" w:cs="Arial"/>
          <w:sz w:val="22"/>
        </w:rPr>
        <w:t>（7.3.</w:t>
      </w:r>
      <w:r>
        <w:rPr>
          <w:rFonts w:hint="eastAsia" w:eastAsia="等线" w:cs="Arial"/>
          <w:sz w:val="22"/>
          <w:lang w:val="en-US" w:eastAsia="zh-CN"/>
        </w:rPr>
        <w:t>4</w:t>
      </w:r>
      <w:r>
        <w:rPr>
          <w:rFonts w:ascii="Arial" w:hAnsi="Arial" w:eastAsia="等线" w:cs="Arial"/>
          <w:sz w:val="22"/>
        </w:rPr>
        <w:t>-</w:t>
      </w:r>
      <w:r>
        <w:rPr>
          <w:rFonts w:hint="eastAsia" w:eastAsia="等线" w:cs="Arial"/>
          <w:sz w:val="22"/>
          <w:lang w:val="en-US" w:eastAsia="zh-CN"/>
        </w:rPr>
        <w:t>6</w:t>
      </w:r>
      <w:r>
        <w:rPr>
          <w:rFonts w:ascii="Arial" w:hAnsi="Arial" w:eastAsia="等线" w:cs="Arial"/>
          <w:sz w:val="22"/>
        </w:rPr>
        <w:t>）</w:t>
      </w:r>
      <w:r>
        <w:rPr>
          <w:rFonts w:ascii="Arial" w:hAnsi="Arial" w:eastAsia="等线" w:cs="Arial"/>
          <w:sz w:val="22"/>
        </w:rPr>
        <w:br w:type="textWrapping"/>
      </w:r>
      <w:r>
        <w:rPr>
          <w:rFonts w:ascii="Arial" w:hAnsi="Arial" w:eastAsia="等线" w:cs="Arial"/>
          <w:sz w:val="22"/>
        </w:rPr>
        <w:t>式中：</w:t>
      </w:r>
      <w:r>
        <w:rPr>
          <w:rFonts w:ascii="Arial" w:hAnsi="Arial" w:eastAsia="等线" w:cs="Arial"/>
          <w:sz w:val="22"/>
        </w:rPr>
        <w:br w:type="textWrapping"/>
      </w:r>
      <m:oMath>
        <m:sSub>
          <m:sSubPr/>
          <m:e>
            <m:r>
              <m:rPr/>
              <w:rPr>
                <w:rFonts w:ascii="Cambria Math" w:hAnsi="Cambria Math"/>
              </w:rPr>
              <m:t>E</m:t>
            </m:r>
          </m:e>
          <m:sub>
            <m:r>
              <m:rPr>
                <m:sty m:val="p"/>
              </m:rPr>
              <w:rPr>
                <w:rFonts w:ascii="Cambria Math" w:hAnsi="Cambria Math"/>
              </w:rPr>
              <m:t>总强度</m:t>
            </m:r>
          </m:sub>
        </m:sSub>
      </m:oMath>
      <w:r>
        <w:rPr>
          <w:rFonts w:ascii="Arial" w:hAnsi="Arial" w:eastAsia="等线" w:cs="Arial"/>
          <w:sz w:val="22"/>
        </w:rPr>
        <w:t>—— 施工阶段单位建筑面积碳排放强度（</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r>
          <m:rPr/>
          <w:rPr>
            <w:rFonts w:ascii="Cambria Math" w:hAnsi="Cambria Math"/>
          </w:rPr>
          <m:t>/</m:t>
        </m:r>
        <m:sSup>
          <m:sSupPr/>
          <m:e>
            <m:r>
              <m:rPr>
                <m:sty m:val="p"/>
              </m:rPr>
              <w:rPr>
                <w:rFonts w:ascii="Cambria Math" w:hAnsi="Cambria Math"/>
              </w:rPr>
              <m:t>m</m:t>
            </m:r>
          </m:e>
          <m:sup>
            <m:r>
              <m:rPr/>
              <w:rPr>
                <w:rFonts w:ascii="Cambria Math" w:hAnsi="Cambria Math"/>
              </w:rPr>
              <m:t>2</m:t>
            </m:r>
          </m:sup>
        </m:sSup>
      </m:oMath>
      <w:r>
        <w:rPr>
          <w:rFonts w:ascii="Arial" w:hAnsi="Arial" w:eastAsia="等线" w:cs="Arial"/>
          <w:sz w:val="22"/>
        </w:rPr>
        <w:t>）；</w:t>
      </w:r>
      <w:r>
        <w:rPr>
          <w:rFonts w:ascii="Arial" w:hAnsi="Arial" w:eastAsia="等线" w:cs="Arial"/>
          <w:sz w:val="22"/>
        </w:rPr>
        <w:br w:type="textWrapping"/>
      </w:r>
      <m:oMath>
        <m:r>
          <m:rPr/>
          <w:rPr>
            <w:rFonts w:hint="default" w:ascii="Cambria Math" w:hAnsi="Cambria Math" w:eastAsia="等线"/>
            <w:lang w:val="en-US" w:eastAsia="zh-CN"/>
          </w:rPr>
          <m:t>A</m:t>
        </m:r>
      </m:oMath>
      <w:r>
        <w:rPr>
          <w:rFonts w:ascii="Arial" w:hAnsi="Arial" w:eastAsia="等线" w:cs="Arial"/>
          <w:sz w:val="22"/>
        </w:rPr>
        <w:t>—— 项目竣工验收总建筑面积（</w:t>
      </w:r>
      <m:oMath>
        <m:sSup>
          <m:sSupPr/>
          <m:e>
            <m:r>
              <m:rPr>
                <m:sty m:val="p"/>
              </m:rPr>
              <w:rPr>
                <w:rFonts w:ascii="Cambria Math" w:hAnsi="Cambria Math"/>
              </w:rPr>
              <m:t>m</m:t>
            </m:r>
          </m:e>
          <m:sup>
            <m:r>
              <m:rPr/>
              <w:rPr>
                <w:rFonts w:ascii="Cambria Math" w:hAnsi="Cambria Math"/>
              </w:rPr>
              <m:t>2</m:t>
            </m:r>
          </m:sup>
        </m:sSup>
      </m:oMath>
      <w:r>
        <w:rPr>
          <w:rFonts w:ascii="Arial" w:hAnsi="Arial" w:eastAsia="等线" w:cs="Arial"/>
          <w:sz w:val="22"/>
        </w:rPr>
        <w:t>），计算范围与本标准 3.1.7 施工边界保持一致。</w:t>
      </w:r>
    </w:p>
    <w:p w14:paraId="0B5ABC00">
      <w:pPr>
        <w:numPr>
          <w:ilvl w:val="0"/>
          <w:numId w:val="3"/>
        </w:numPr>
        <w:spacing w:before="120" w:after="120" w:line="288" w:lineRule="auto"/>
        <w:ind w:left="0"/>
        <w:jc w:val="left"/>
      </w:pPr>
      <w:bookmarkStart w:id="45" w:name="heading_20"/>
      <w:r>
        <w:rPr>
          <w:rFonts w:hint="default" w:ascii="Arial" w:hAnsi="Arial" w:eastAsia="等线" w:cs="Arial"/>
          <w:sz w:val="22"/>
          <w:lang w:eastAsia="zh-CN"/>
        </w:rPr>
        <w:t xml:space="preserve"> 经碳汇抵消修正后净碳排放量</w:t>
      </w:r>
      <w:bookmarkEnd w:id="45"/>
    </w:p>
    <w:p w14:paraId="29D27E06">
      <w:pPr>
        <w:spacing w:before="120" w:after="120" w:line="288" w:lineRule="auto"/>
        <w:ind w:left="0"/>
        <w:jc w:val="left"/>
      </w:pPr>
      <m:oMathPara>
        <m:oMathParaPr>
          <m:jc m:val="left"/>
        </m:oMathParaPr>
        <m:oMath>
          <m:m>
            <m:mPr>
              <m:mcs>
                <m:mc>
                  <m:mcPr>
                    <m:count m:val="1"/>
                    <m:mcJc m:val="center"/>
                  </m:mcPr>
                </m:mc>
              </m:mcs>
              <m:plcHide m:val="1"/>
            </m:mPr>
            <m:mr>
              <m:e>
                <m:sSub>
                  <m:sSubPr/>
                  <m:e>
                    <m:r>
                      <m:rPr/>
                      <w:rPr>
                        <w:rFonts w:ascii="Cambria Math" w:hAnsi="Cambria Math"/>
                      </w:rPr>
                      <m:t>E</m:t>
                    </m:r>
                  </m:e>
                  <m:sub>
                    <m:r>
                      <m:rPr>
                        <m:sty m:val="p"/>
                      </m:rPr>
                      <w:rPr>
                        <w:rFonts w:ascii="Cambria Math" w:hAnsi="Cambria Math"/>
                      </w:rPr>
                      <m:t>修正</m:t>
                    </m:r>
                  </m:sub>
                </m:sSub>
                <m:r>
                  <m:rPr/>
                  <w:rPr>
                    <w:rFonts w:ascii="Cambria Math" w:hAnsi="Cambria Math"/>
                  </w:rPr>
                  <m:t>=</m:t>
                </m:r>
                <m:sSub>
                  <m:sSubPr/>
                  <m:e>
                    <m:r>
                      <m:rPr/>
                      <w:rPr>
                        <w:rFonts w:ascii="Cambria Math" w:hAnsi="Cambria Math"/>
                      </w:rPr>
                      <m:t>E</m:t>
                    </m:r>
                  </m:e>
                  <m:sub>
                    <m:r>
                      <m:rPr>
                        <m:sty m:val="p"/>
                      </m:rPr>
                      <w:rPr>
                        <w:rFonts w:ascii="Cambria Math" w:hAnsi="Cambria Math"/>
                      </w:rPr>
                      <m:t>总</m:t>
                    </m:r>
                  </m:sub>
                </m:sSub>
                <m:r>
                  <m:rPr/>
                  <w:rPr>
                    <w:rFonts w:ascii="Cambria Math" w:hAnsi="Cambria Math"/>
                  </w:rPr>
                  <m:t>−</m:t>
                </m:r>
                <m:sSub>
                  <m:sSubPr/>
                  <m:e>
                    <m:r>
                      <m:rPr/>
                      <w:rPr>
                        <w:rFonts w:ascii="Cambria Math" w:hAnsi="Cambria Math"/>
                      </w:rPr>
                      <m:t>E</m:t>
                    </m:r>
                  </m:e>
                  <m:sub>
                    <m:r>
                      <m:rPr>
                        <m:sty m:val="p"/>
                      </m:rPr>
                      <w:rPr>
                        <w:rFonts w:ascii="Cambria Math" w:hAnsi="Cambria Math"/>
                      </w:rPr>
                      <m:t>抵消</m:t>
                    </m:r>
                  </m:sub>
                </m:sSub>
              </m:e>
            </m:mr>
          </m:m>
        </m:oMath>
      </m:oMathPara>
      <w:r>
        <w:rPr>
          <w:rFonts w:ascii="Arial" w:hAnsi="Arial" w:eastAsia="等线" w:cs="Arial"/>
          <w:sz w:val="22"/>
        </w:rPr>
        <w:br w:type="textWrapping"/>
      </w:r>
      <w:r>
        <w:rPr>
          <w:rFonts w:ascii="Arial" w:hAnsi="Arial" w:eastAsia="等线" w:cs="Arial"/>
          <w:sz w:val="22"/>
        </w:rPr>
        <w:t>式中：</w:t>
      </w:r>
      <w:r>
        <w:rPr>
          <w:rFonts w:ascii="Arial" w:hAnsi="Arial" w:eastAsia="等线" w:cs="Arial"/>
          <w:sz w:val="22"/>
        </w:rPr>
        <w:br w:type="textWrapping"/>
      </w:r>
      <m:oMath>
        <m:sSub>
          <m:sSubPr/>
          <m:e>
            <m:r>
              <m:rPr/>
              <w:rPr>
                <w:rFonts w:ascii="Cambria Math" w:hAnsi="Cambria Math"/>
              </w:rPr>
              <m:t>E</m:t>
            </m:r>
          </m:e>
          <m:sub>
            <m:r>
              <m:rPr>
                <m:sty m:val="p"/>
              </m:rPr>
              <w:rPr>
                <w:rFonts w:ascii="Cambria Math" w:hAnsi="Cambria Math"/>
              </w:rPr>
              <m:t>修正</m:t>
            </m:r>
          </m:sub>
        </m:sSub>
      </m:oMath>
      <w:r>
        <w:rPr>
          <w:rFonts w:ascii="Arial" w:hAnsi="Arial" w:eastAsia="等线" w:cs="Arial"/>
          <w:sz w:val="22"/>
        </w:rPr>
        <w:t>—— 碳抵消后施工净碳排放量（</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oMath>
      <w:r>
        <w:rPr>
          <w:rFonts w:ascii="Arial" w:hAnsi="Arial" w:eastAsia="等线" w:cs="Arial"/>
          <w:sz w:val="22"/>
        </w:rPr>
        <w:t>）；</w:t>
      </w:r>
      <w:r>
        <w:rPr>
          <w:rFonts w:ascii="Arial" w:hAnsi="Arial" w:eastAsia="等线" w:cs="Arial"/>
          <w:sz w:val="22"/>
        </w:rPr>
        <w:br w:type="textWrapping"/>
      </w:r>
      <m:oMath>
        <m:sSub>
          <m:sSubPr/>
          <m:e>
            <m:r>
              <m:rPr/>
              <w:rPr>
                <w:rFonts w:ascii="Cambria Math" w:hAnsi="Cambria Math"/>
              </w:rPr>
              <m:t>E</m:t>
            </m:r>
          </m:e>
          <m:sub>
            <m:r>
              <m:rPr>
                <m:sty m:val="p"/>
              </m:rPr>
              <w:rPr>
                <w:rFonts w:ascii="Cambria Math" w:hAnsi="Cambria Math"/>
              </w:rPr>
              <m:t>抵消</m:t>
            </m:r>
          </m:sub>
        </m:sSub>
      </m:oMath>
      <w:r>
        <w:rPr>
          <w:rFonts w:ascii="Arial" w:hAnsi="Arial" w:eastAsia="等线" w:cs="Arial"/>
          <w:sz w:val="22"/>
        </w:rPr>
        <w:t>—— 完成权属注销、合规 CCER、林业碳汇、绿证对应的抵消减排量（</w:t>
      </w:r>
      <m:oMath>
        <m:sSub>
          <m:sSubPr/>
          <m:e>
            <m:r>
              <m:rPr>
                <m:sty m:val="p"/>
              </m:rPr>
              <w:rPr>
                <w:rFonts w:ascii="Cambria Math" w:hAnsi="Cambria Math"/>
              </w:rPr>
              <m:t>kgCO</m:t>
            </m:r>
          </m:e>
          <m:sub>
            <m:r>
              <m:rPr/>
              <w:rPr>
                <w:rFonts w:ascii="Cambria Math" w:hAnsi="Cambria Math"/>
              </w:rPr>
              <m:t>2</m:t>
            </m:r>
          </m:sub>
        </m:sSub>
        <m:r>
          <m:rPr>
            <m:sty m:val="p"/>
          </m:rPr>
          <w:rPr>
            <w:rFonts w:ascii="Cambria Math" w:hAnsi="Cambria Math"/>
          </w:rPr>
          <m:t>e</m:t>
        </m:r>
      </m:oMath>
      <w:r>
        <w:rPr>
          <w:rFonts w:ascii="Arial" w:hAnsi="Arial" w:eastAsia="等线" w:cs="Arial"/>
          <w:sz w:val="22"/>
        </w:rPr>
        <w:t>），抵消比例、抵消品类需满足本标准3.1.8、7.6 章节约束要求。</w:t>
      </w:r>
    </w:p>
    <w:p w14:paraId="2342D22B">
      <w:pPr>
        <w:pStyle w:val="14"/>
        <w:keepNext w:val="0"/>
        <w:keepLines w:val="0"/>
        <w:widowControl/>
        <w:suppressLineNumbers w:val="0"/>
        <w:kinsoku w:val="0"/>
        <w:autoSpaceDE w:val="0"/>
        <w:autoSpaceDN w:val="0"/>
        <w:adjustRightInd w:val="0"/>
        <w:snapToGrid w:val="0"/>
        <w:spacing w:before="0" w:beforeAutospacing="0" w:after="0" w:afterAutospacing="0" w:line="360" w:lineRule="auto"/>
        <w:ind w:left="420" w:right="0"/>
        <w:jc w:val="left"/>
        <w:rPr>
          <w:rFonts w:hint="eastAsia" w:ascii="Times New Roman" w:hAnsi="Times New Roman" w:eastAsia="宋体" w:cs="宋体"/>
          <w:snapToGrid/>
          <w:color w:val="000000"/>
          <w:kern w:val="0"/>
          <w:sz w:val="24"/>
          <w:szCs w:val="21"/>
          <w:lang w:val="en-US" w:eastAsia="zh-CN" w:bidi="ar"/>
        </w:rPr>
      </w:pPr>
      <w:r>
        <w:rPr>
          <w:rFonts w:hint="default" w:ascii="Times New Roman" w:hAnsi="Times New Roman" w:eastAsia="宋体" w:cs="Times New Roman"/>
          <w:snapToGrid/>
          <w:color w:val="000000"/>
          <w:kern w:val="0"/>
          <w:lang w:eastAsia="zh-CN" w:bidi="ar"/>
        </w:rPr>
        <w:t xml:space="preserve">  </w:t>
      </w:r>
    </w:p>
    <w:p w14:paraId="4B639B7F">
      <w:pPr>
        <w:spacing w:before="92" w:line="222" w:lineRule="auto"/>
        <w:ind w:left="3178"/>
        <w:outlineLvl w:val="1"/>
        <w:rPr>
          <w:rFonts w:ascii="黑体" w:hAnsi="黑体" w:eastAsia="黑体" w:cs="黑体"/>
          <w:sz w:val="28"/>
          <w:szCs w:val="28"/>
        </w:rPr>
      </w:pPr>
      <w:bookmarkStart w:id="46" w:name="_Toc25040"/>
      <w:r>
        <w:rPr>
          <w:rFonts w:hint="eastAsia" w:ascii="黑体" w:hAnsi="黑体" w:eastAsia="黑体" w:cs="黑体"/>
          <w:b/>
          <w:bCs/>
          <w:spacing w:val="-5"/>
          <w:sz w:val="24"/>
          <w:szCs w:val="24"/>
          <w:lang w:val="en-US" w:eastAsia="zh-CN"/>
        </w:rPr>
        <w:t>7.</w:t>
      </w:r>
      <w:r>
        <w:rPr>
          <w:rFonts w:hint="default" w:ascii="黑体" w:hAnsi="黑体" w:eastAsia="黑体" w:cs="黑体"/>
          <w:b/>
          <w:bCs/>
          <w:spacing w:val="-5"/>
          <w:sz w:val="24"/>
          <w:szCs w:val="24"/>
          <w:lang w:eastAsia="zh-CN"/>
        </w:rPr>
        <w:t>4</w:t>
      </w:r>
      <w:r>
        <w:rPr>
          <w:rFonts w:ascii="黑体" w:hAnsi="黑体" w:eastAsia="黑体" w:cs="黑体"/>
          <w:spacing w:val="113"/>
          <w:sz w:val="24"/>
          <w:szCs w:val="24"/>
        </w:rPr>
        <w:t xml:space="preserve"> </w:t>
      </w:r>
      <w:r>
        <w:rPr>
          <w:rFonts w:hint="eastAsia" w:ascii="黑体" w:hAnsi="黑体" w:eastAsia="黑体" w:cs="黑体"/>
          <w:b/>
          <w:bCs/>
          <w:spacing w:val="-5"/>
          <w:sz w:val="28"/>
          <w:szCs w:val="28"/>
        </w:rPr>
        <w:t>评估指标</w:t>
      </w:r>
      <w:bookmarkEnd w:id="46"/>
    </w:p>
    <w:p w14:paraId="5BDDB2A7">
      <w:pPr>
        <w:pStyle w:val="7"/>
        <w:spacing w:line="460" w:lineRule="auto"/>
      </w:pPr>
    </w:p>
    <w:p w14:paraId="2C99845A">
      <w:pPr>
        <w:pBdr>
          <w:bottom w:val="none" w:color="auto" w:sz="0" w:space="0"/>
        </w:pBdr>
        <w:bidi w:val="0"/>
        <w:spacing w:line="281" w:lineRule="auto"/>
        <w:rPr>
          <w:rFonts w:hint="eastAsia" w:ascii="宋体" w:hAnsi="宋体" w:eastAsia="宋体" w:cs="宋体"/>
          <w:sz w:val="24"/>
          <w:szCs w:val="24"/>
          <w:lang w:val="en-US" w:eastAsia="zh-CN"/>
        </w:rPr>
      </w:pPr>
      <w:r>
        <w:rPr>
          <w:rFonts w:hint="default" w:ascii="Times New Roman" w:hAnsi="Times New Roman" w:eastAsia="宋体" w:cs="Times New Roman"/>
          <w:b/>
          <w:bCs/>
          <w:sz w:val="24"/>
          <w:szCs w:val="24"/>
          <w:lang w:eastAsia="zh-CN"/>
        </w:rPr>
        <w:t>7</w:t>
      </w:r>
      <w:r>
        <w:rPr>
          <w:rFonts w:hint="default" w:ascii="Times New Roman" w:hAnsi="Times New Roman" w:eastAsia="宋体" w:cs="Times New Roman"/>
          <w:b/>
          <w:bCs/>
          <w:sz w:val="24"/>
          <w:szCs w:val="24"/>
          <w:lang w:val="en-US" w:eastAsia="zh-CN"/>
        </w:rPr>
        <w:t>.4.1</w:t>
      </w:r>
      <w:r>
        <w:rPr>
          <w:rFonts w:hint="default" w:ascii="Times New Roman" w:hAnsi="Times New Roman" w:eastAsia="宋体" w:cs="Times New Roman"/>
          <w:b/>
          <w:bCs/>
          <w:sz w:val="24"/>
          <w:szCs w:val="24"/>
          <w:lang w:eastAsia="zh-CN"/>
        </w:rPr>
        <w:t xml:space="preserve">    </w:t>
      </w:r>
      <w:r>
        <w:rPr>
          <w:rFonts w:hint="eastAsia" w:ascii="宋体" w:hAnsi="宋体" w:eastAsia="宋体" w:cs="宋体"/>
          <w:snapToGrid w:val="0"/>
          <w:color w:val="000000"/>
          <w:kern w:val="0"/>
          <w:sz w:val="24"/>
          <w:szCs w:val="24"/>
          <w:lang w:val="en-US" w:eastAsia="zh-CN" w:bidi="ar-SA"/>
        </w:rPr>
        <w:t>评估指标紧扣施工管理、施工技术、供应链管理核心要求，采用总分100分+负面扣分模式，通过台账核查、现场核验、资料佐证完成评分，全面覆盖施工全流程、技术全维度、供应链全环节低碳管控要求。评估指标见表 7.4.1</w:t>
      </w:r>
      <w:r>
        <w:rPr>
          <w:rFonts w:hint="eastAsia" w:ascii="宋体" w:hAnsi="宋体" w:eastAsia="宋体" w:cs="宋体"/>
          <w:sz w:val="24"/>
          <w:szCs w:val="24"/>
          <w:lang w:val="en-US" w:eastAsia="zh-CN"/>
        </w:rPr>
        <w:t>。</w:t>
      </w:r>
    </w:p>
    <w:p w14:paraId="4684765B">
      <w:pPr>
        <w:bidi w:val="0"/>
        <w:spacing w:line="281" w:lineRule="auto"/>
        <w:jc w:val="center"/>
        <w:rPr>
          <w:rFonts w:ascii="宋体" w:hAnsi="宋体" w:eastAsia="宋体" w:cs="宋体"/>
          <w:sz w:val="24"/>
          <w:szCs w:val="24"/>
        </w:rPr>
      </w:pPr>
      <w:r>
        <w:rPr>
          <w:rFonts w:ascii="宋体" w:hAnsi="宋体" w:eastAsia="宋体" w:cs="宋体"/>
          <w:sz w:val="24"/>
          <w:szCs w:val="24"/>
        </w:rPr>
        <w:t>表 7.4.1 低碳建造评估指标</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72"/>
        <w:gridCol w:w="1542"/>
        <w:gridCol w:w="2025"/>
        <w:gridCol w:w="3816"/>
      </w:tblGrid>
      <w:tr w14:paraId="02B2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272" w:type="dxa"/>
            <w:shd w:val="clear" w:color="auto" w:fill="auto"/>
            <w:tcMar>
              <w:top w:w="120" w:type="dxa"/>
              <w:left w:w="120" w:type="dxa"/>
              <w:bottom w:w="120" w:type="dxa"/>
              <w:right w:w="120" w:type="dxa"/>
            </w:tcMar>
            <w:vAlign w:val="top"/>
          </w:tcPr>
          <w:p w14:paraId="67458582">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评估板块</w:t>
            </w:r>
          </w:p>
        </w:tc>
        <w:tc>
          <w:tcPr>
            <w:tcW w:w="1542" w:type="dxa"/>
            <w:shd w:val="clear" w:color="auto" w:fill="auto"/>
            <w:tcMar>
              <w:top w:w="120" w:type="dxa"/>
              <w:left w:w="120" w:type="dxa"/>
              <w:bottom w:w="120" w:type="dxa"/>
              <w:right w:w="120" w:type="dxa"/>
            </w:tcMar>
            <w:vAlign w:val="top"/>
          </w:tcPr>
          <w:p w14:paraId="4F0D0431">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子项</w:t>
            </w:r>
          </w:p>
        </w:tc>
        <w:tc>
          <w:tcPr>
            <w:tcW w:w="2025" w:type="dxa"/>
            <w:shd w:val="clear" w:color="auto" w:fill="auto"/>
            <w:tcMar>
              <w:top w:w="120" w:type="dxa"/>
              <w:left w:w="120" w:type="dxa"/>
              <w:bottom w:w="120" w:type="dxa"/>
              <w:right w:w="120" w:type="dxa"/>
            </w:tcMar>
            <w:vAlign w:val="top"/>
          </w:tcPr>
          <w:p w14:paraId="2DCAABE5">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分值</w:t>
            </w:r>
          </w:p>
        </w:tc>
        <w:tc>
          <w:tcPr>
            <w:tcW w:w="3816" w:type="dxa"/>
            <w:shd w:val="clear" w:color="auto" w:fill="auto"/>
            <w:tcMar>
              <w:top w:w="120" w:type="dxa"/>
              <w:left w:w="120" w:type="dxa"/>
              <w:bottom w:w="120" w:type="dxa"/>
              <w:right w:w="120" w:type="dxa"/>
            </w:tcMar>
            <w:vAlign w:val="top"/>
          </w:tcPr>
          <w:p w14:paraId="4AB76041">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核心管控项（对应标准章节）</w:t>
            </w:r>
          </w:p>
        </w:tc>
      </w:tr>
      <w:tr w14:paraId="1858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72" w:type="dxa"/>
            <w:vMerge w:val="restart"/>
            <w:shd w:val="clear" w:color="auto" w:fill="auto"/>
            <w:tcMar>
              <w:top w:w="120" w:type="dxa"/>
              <w:left w:w="120" w:type="dxa"/>
              <w:bottom w:w="120" w:type="dxa"/>
              <w:right w:w="120" w:type="dxa"/>
            </w:tcMar>
            <w:vAlign w:val="center"/>
          </w:tcPr>
          <w:p w14:paraId="4115B36B">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Arial"/>
                <w:lang w:val="en-US" w:eastAsia="zh-CN"/>
              </w:rPr>
            </w:pPr>
            <w:r>
              <w:rPr>
                <w:rFonts w:hint="eastAsia" w:ascii="Times New Roman" w:hAnsi="Times New Roman" w:eastAsia="宋体" w:cs="宋体"/>
                <w:snapToGrid w:val="0"/>
                <w:color w:val="000000"/>
                <w:kern w:val="0"/>
                <w:sz w:val="21"/>
                <w:szCs w:val="21"/>
                <w:lang w:val="en-US" w:eastAsia="zh-CN" w:bidi="ar"/>
              </w:rPr>
              <w:t>施工管理（45分）</w:t>
            </w:r>
          </w:p>
        </w:tc>
        <w:tc>
          <w:tcPr>
            <w:tcW w:w="1542" w:type="dxa"/>
            <w:shd w:val="clear" w:color="auto" w:fill="auto"/>
            <w:tcMar>
              <w:top w:w="120" w:type="dxa"/>
              <w:left w:w="120" w:type="dxa"/>
              <w:bottom w:w="120" w:type="dxa"/>
              <w:right w:w="120" w:type="dxa"/>
            </w:tcMar>
            <w:vAlign w:val="top"/>
          </w:tcPr>
          <w:p w14:paraId="45ABCAE6">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施工前期策划</w:t>
            </w:r>
          </w:p>
        </w:tc>
        <w:tc>
          <w:tcPr>
            <w:tcW w:w="2025" w:type="dxa"/>
            <w:shd w:val="clear" w:color="auto" w:fill="auto"/>
            <w:tcMar>
              <w:top w:w="120" w:type="dxa"/>
              <w:left w:w="120" w:type="dxa"/>
              <w:bottom w:w="120" w:type="dxa"/>
              <w:right w:w="120" w:type="dxa"/>
            </w:tcMar>
            <w:vAlign w:val="top"/>
          </w:tcPr>
          <w:p w14:paraId="24467DB8">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10</w:t>
            </w:r>
          </w:p>
        </w:tc>
        <w:tc>
          <w:tcPr>
            <w:tcW w:w="3816" w:type="dxa"/>
            <w:shd w:val="clear" w:color="auto" w:fill="auto"/>
            <w:tcMar>
              <w:top w:w="120" w:type="dxa"/>
              <w:left w:w="120" w:type="dxa"/>
              <w:bottom w:w="120" w:type="dxa"/>
              <w:right w:w="120" w:type="dxa"/>
            </w:tcMar>
            <w:vAlign w:val="top"/>
          </w:tcPr>
          <w:p w14:paraId="4B064EEB">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零碳方案、培训交底、数字化平台搭建（第4.1节）</w:t>
            </w:r>
          </w:p>
        </w:tc>
      </w:tr>
      <w:tr w14:paraId="5CCEA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shd w:val="clear" w:color="auto" w:fill="auto"/>
            <w:tcMar>
              <w:top w:w="120" w:type="dxa"/>
              <w:left w:w="120" w:type="dxa"/>
              <w:bottom w:w="120" w:type="dxa"/>
              <w:right w:w="120" w:type="dxa"/>
            </w:tcMar>
            <w:vAlign w:val="center"/>
          </w:tcPr>
          <w:p w14:paraId="7A3AD843">
            <w:pPr>
              <w:keepNext w:val="0"/>
              <w:keepLines w:val="0"/>
              <w:widowControl/>
              <w:suppressLineNumbers w:val="0"/>
              <w:spacing w:before="0" w:beforeAutospacing="0" w:after="0" w:afterAutospacing="0"/>
              <w:ind w:left="0" w:right="0"/>
              <w:rPr>
                <w:rFonts w:hint="default" w:ascii="Arial" w:hAnsi="Arial" w:cs="Arial"/>
                <w:sz w:val="20"/>
                <w:szCs w:val="20"/>
              </w:rPr>
            </w:pPr>
          </w:p>
        </w:tc>
        <w:tc>
          <w:tcPr>
            <w:tcW w:w="1542" w:type="dxa"/>
            <w:shd w:val="clear" w:color="auto" w:fill="auto"/>
            <w:tcMar>
              <w:top w:w="120" w:type="dxa"/>
              <w:left w:w="120" w:type="dxa"/>
              <w:bottom w:w="120" w:type="dxa"/>
              <w:right w:w="120" w:type="dxa"/>
            </w:tcMar>
            <w:vAlign w:val="top"/>
          </w:tcPr>
          <w:p w14:paraId="344CB078">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施工过程碳管控</w:t>
            </w:r>
          </w:p>
        </w:tc>
        <w:tc>
          <w:tcPr>
            <w:tcW w:w="2025" w:type="dxa"/>
            <w:shd w:val="clear" w:color="auto" w:fill="auto"/>
            <w:tcMar>
              <w:top w:w="120" w:type="dxa"/>
              <w:left w:w="120" w:type="dxa"/>
              <w:bottom w:w="120" w:type="dxa"/>
              <w:right w:w="120" w:type="dxa"/>
            </w:tcMar>
            <w:vAlign w:val="top"/>
          </w:tcPr>
          <w:p w14:paraId="72BA4AF2">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15</w:t>
            </w:r>
          </w:p>
        </w:tc>
        <w:tc>
          <w:tcPr>
            <w:tcW w:w="3816" w:type="dxa"/>
            <w:shd w:val="clear" w:color="auto" w:fill="auto"/>
            <w:tcMar>
              <w:top w:w="120" w:type="dxa"/>
              <w:left w:w="120" w:type="dxa"/>
              <w:bottom w:w="120" w:type="dxa"/>
              <w:right w:w="120" w:type="dxa"/>
            </w:tcMar>
            <w:vAlign w:val="top"/>
          </w:tcPr>
          <w:p w14:paraId="7B8F25CA">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绿电使用、设备电动化、碳排放监测（第4.2节）</w:t>
            </w:r>
          </w:p>
        </w:tc>
      </w:tr>
      <w:tr w14:paraId="0AA9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72" w:type="dxa"/>
            <w:vMerge w:val="continue"/>
            <w:shd w:val="clear" w:color="auto" w:fill="auto"/>
            <w:tcMar>
              <w:top w:w="120" w:type="dxa"/>
              <w:left w:w="120" w:type="dxa"/>
              <w:bottom w:w="120" w:type="dxa"/>
              <w:right w:w="120" w:type="dxa"/>
            </w:tcMar>
            <w:vAlign w:val="center"/>
          </w:tcPr>
          <w:p w14:paraId="492872B6">
            <w:pPr>
              <w:keepNext w:val="0"/>
              <w:keepLines w:val="0"/>
              <w:widowControl/>
              <w:suppressLineNumbers w:val="0"/>
              <w:spacing w:before="0" w:beforeAutospacing="0" w:after="0" w:afterAutospacing="0"/>
              <w:ind w:left="0" w:right="0"/>
              <w:rPr>
                <w:rFonts w:hint="default" w:ascii="Arial" w:hAnsi="Arial" w:cs="Arial"/>
                <w:sz w:val="20"/>
                <w:szCs w:val="20"/>
              </w:rPr>
            </w:pPr>
          </w:p>
        </w:tc>
        <w:tc>
          <w:tcPr>
            <w:tcW w:w="1542" w:type="dxa"/>
            <w:shd w:val="clear" w:color="auto" w:fill="auto"/>
            <w:tcMar>
              <w:top w:w="120" w:type="dxa"/>
              <w:left w:w="120" w:type="dxa"/>
              <w:bottom w:w="120" w:type="dxa"/>
              <w:right w:w="120" w:type="dxa"/>
            </w:tcMar>
            <w:vAlign w:val="top"/>
          </w:tcPr>
          <w:p w14:paraId="08F1DB83">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施工后期管理</w:t>
            </w:r>
          </w:p>
        </w:tc>
        <w:tc>
          <w:tcPr>
            <w:tcW w:w="2025" w:type="dxa"/>
            <w:shd w:val="clear" w:color="auto" w:fill="auto"/>
            <w:tcMar>
              <w:top w:w="120" w:type="dxa"/>
              <w:left w:w="120" w:type="dxa"/>
              <w:bottom w:w="120" w:type="dxa"/>
              <w:right w:w="120" w:type="dxa"/>
            </w:tcMar>
            <w:vAlign w:val="top"/>
          </w:tcPr>
          <w:p w14:paraId="397220C4">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10</w:t>
            </w:r>
          </w:p>
        </w:tc>
        <w:tc>
          <w:tcPr>
            <w:tcW w:w="3816" w:type="dxa"/>
            <w:shd w:val="clear" w:color="auto" w:fill="auto"/>
            <w:tcMar>
              <w:top w:w="120" w:type="dxa"/>
              <w:left w:w="120" w:type="dxa"/>
              <w:bottom w:w="120" w:type="dxa"/>
              <w:right w:w="120" w:type="dxa"/>
            </w:tcMar>
            <w:vAlign w:val="top"/>
          </w:tcPr>
          <w:p w14:paraId="2EC64DB0">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验收核查、废弃物回收、资料归档 （第4.3节）</w:t>
            </w:r>
          </w:p>
        </w:tc>
      </w:tr>
      <w:tr w14:paraId="41723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shd w:val="clear" w:color="auto" w:fill="auto"/>
            <w:tcMar>
              <w:top w:w="120" w:type="dxa"/>
              <w:left w:w="120" w:type="dxa"/>
              <w:bottom w:w="120" w:type="dxa"/>
              <w:right w:w="120" w:type="dxa"/>
            </w:tcMar>
            <w:vAlign w:val="center"/>
          </w:tcPr>
          <w:p w14:paraId="3D0FE0BF">
            <w:pPr>
              <w:keepNext w:val="0"/>
              <w:keepLines w:val="0"/>
              <w:widowControl/>
              <w:suppressLineNumbers w:val="0"/>
              <w:spacing w:before="0" w:beforeAutospacing="0" w:after="0" w:afterAutospacing="0"/>
              <w:ind w:left="0" w:right="0"/>
              <w:rPr>
                <w:rFonts w:hint="default" w:ascii="Arial" w:hAnsi="Arial" w:cs="Arial"/>
                <w:sz w:val="20"/>
                <w:szCs w:val="20"/>
              </w:rPr>
            </w:pPr>
          </w:p>
        </w:tc>
        <w:tc>
          <w:tcPr>
            <w:tcW w:w="1542" w:type="dxa"/>
            <w:shd w:val="clear" w:color="auto" w:fill="auto"/>
            <w:tcMar>
              <w:top w:w="120" w:type="dxa"/>
              <w:left w:w="120" w:type="dxa"/>
              <w:bottom w:w="120" w:type="dxa"/>
              <w:right w:w="120" w:type="dxa"/>
            </w:tcMar>
            <w:vAlign w:val="top"/>
          </w:tcPr>
          <w:p w14:paraId="1A29EE32">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安全应急协同</w:t>
            </w:r>
          </w:p>
        </w:tc>
        <w:tc>
          <w:tcPr>
            <w:tcW w:w="2025" w:type="dxa"/>
            <w:shd w:val="clear" w:color="auto" w:fill="auto"/>
            <w:tcMar>
              <w:top w:w="120" w:type="dxa"/>
              <w:left w:w="120" w:type="dxa"/>
              <w:bottom w:w="120" w:type="dxa"/>
              <w:right w:w="120" w:type="dxa"/>
            </w:tcMar>
            <w:vAlign w:val="top"/>
          </w:tcPr>
          <w:p w14:paraId="63C463BB">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10</w:t>
            </w:r>
          </w:p>
        </w:tc>
        <w:tc>
          <w:tcPr>
            <w:tcW w:w="3816" w:type="dxa"/>
            <w:shd w:val="clear" w:color="auto" w:fill="auto"/>
            <w:tcMar>
              <w:top w:w="120" w:type="dxa"/>
              <w:left w:w="120" w:type="dxa"/>
              <w:bottom w:w="120" w:type="dxa"/>
              <w:right w:w="120" w:type="dxa"/>
            </w:tcMar>
            <w:vAlign w:val="top"/>
          </w:tcPr>
          <w:p w14:paraId="627F0CD9">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应急方案、专项演练、事故碳补偿 （第4.1/4.2节）</w:t>
            </w:r>
          </w:p>
        </w:tc>
      </w:tr>
      <w:tr w14:paraId="1B6C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restart"/>
            <w:shd w:val="clear" w:color="auto" w:fill="auto"/>
            <w:tcMar>
              <w:top w:w="120" w:type="dxa"/>
              <w:left w:w="120" w:type="dxa"/>
              <w:bottom w:w="120" w:type="dxa"/>
              <w:right w:w="120" w:type="dxa"/>
            </w:tcMar>
            <w:vAlign w:val="center"/>
          </w:tcPr>
          <w:p w14:paraId="3008081C">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Arial"/>
                <w:lang w:val="en-US" w:eastAsia="zh-CN"/>
              </w:rPr>
            </w:pPr>
            <w:r>
              <w:rPr>
                <w:rFonts w:hint="eastAsia" w:ascii="Times New Roman" w:hAnsi="Times New Roman" w:eastAsia="宋体" w:cs="宋体"/>
                <w:snapToGrid w:val="0"/>
                <w:color w:val="000000"/>
                <w:kern w:val="0"/>
                <w:sz w:val="21"/>
                <w:szCs w:val="21"/>
                <w:lang w:val="en-US" w:eastAsia="zh-CN" w:bidi="ar"/>
              </w:rPr>
              <w:t>施工技术（</w:t>
            </w:r>
            <w:r>
              <w:rPr>
                <w:rFonts w:hint="default" w:ascii="Times New Roman" w:hAnsi="Times New Roman" w:eastAsia="宋体" w:cs="Arial"/>
                <w:snapToGrid w:val="0"/>
                <w:color w:val="000000"/>
                <w:kern w:val="0"/>
                <w:sz w:val="21"/>
                <w:szCs w:val="21"/>
                <w:lang w:val="en-US" w:eastAsia="zh-CN" w:bidi="ar"/>
              </w:rPr>
              <w:t>3</w:t>
            </w:r>
            <w:r>
              <w:rPr>
                <w:rFonts w:hint="eastAsia" w:ascii="Times New Roman" w:hAnsi="Times New Roman" w:eastAsia="宋体" w:cs="Arial"/>
                <w:snapToGrid w:val="0"/>
                <w:color w:val="000000"/>
                <w:kern w:val="0"/>
                <w:sz w:val="21"/>
                <w:szCs w:val="21"/>
                <w:lang w:val="en-US" w:eastAsia="zh-CN" w:bidi="ar"/>
              </w:rPr>
              <w:t>5</w:t>
            </w:r>
            <w:r>
              <w:rPr>
                <w:rFonts w:hint="default" w:ascii="Times New Roman" w:hAnsi="Times New Roman" w:eastAsia="宋体" w:cs="Arial"/>
                <w:snapToGrid w:val="0"/>
                <w:color w:val="000000"/>
                <w:kern w:val="0"/>
                <w:sz w:val="21"/>
                <w:szCs w:val="21"/>
                <w:lang w:val="en-US" w:eastAsia="zh-CN" w:bidi="ar"/>
              </w:rPr>
              <w:t xml:space="preserve"> </w:t>
            </w:r>
            <w:r>
              <w:rPr>
                <w:rFonts w:hint="eastAsia" w:ascii="Times New Roman" w:hAnsi="Times New Roman" w:eastAsia="宋体" w:cs="宋体"/>
                <w:snapToGrid w:val="0"/>
                <w:color w:val="000000"/>
                <w:kern w:val="0"/>
                <w:sz w:val="21"/>
                <w:szCs w:val="21"/>
                <w:lang w:val="en-US" w:eastAsia="zh-CN" w:bidi="ar"/>
              </w:rPr>
              <w:t>分）</w:t>
            </w:r>
          </w:p>
        </w:tc>
        <w:tc>
          <w:tcPr>
            <w:tcW w:w="1542" w:type="dxa"/>
            <w:shd w:val="clear" w:color="auto" w:fill="auto"/>
            <w:tcMar>
              <w:top w:w="120" w:type="dxa"/>
              <w:left w:w="120" w:type="dxa"/>
              <w:bottom w:w="120" w:type="dxa"/>
              <w:right w:w="120" w:type="dxa"/>
            </w:tcMar>
            <w:vAlign w:val="top"/>
          </w:tcPr>
          <w:p w14:paraId="34ED0DDD">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施工准备低碳技术</w:t>
            </w:r>
          </w:p>
        </w:tc>
        <w:tc>
          <w:tcPr>
            <w:tcW w:w="2025" w:type="dxa"/>
            <w:shd w:val="clear" w:color="auto" w:fill="auto"/>
            <w:tcMar>
              <w:top w:w="120" w:type="dxa"/>
              <w:left w:w="120" w:type="dxa"/>
              <w:bottom w:w="120" w:type="dxa"/>
              <w:right w:w="120" w:type="dxa"/>
            </w:tcMar>
            <w:vAlign w:val="top"/>
          </w:tcPr>
          <w:p w14:paraId="0E31A02B">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8</w:t>
            </w:r>
          </w:p>
        </w:tc>
        <w:tc>
          <w:tcPr>
            <w:tcW w:w="3816" w:type="dxa"/>
            <w:shd w:val="clear" w:color="auto" w:fill="auto"/>
            <w:tcMar>
              <w:top w:w="120" w:type="dxa"/>
              <w:left w:w="120" w:type="dxa"/>
              <w:bottom w:w="120" w:type="dxa"/>
              <w:right w:w="120" w:type="dxa"/>
            </w:tcMar>
            <w:vAlign w:val="top"/>
          </w:tcPr>
          <w:p w14:paraId="11EA5D74">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土方平衡、临时设施、临时用能   （第5.2节）</w:t>
            </w:r>
          </w:p>
        </w:tc>
      </w:tr>
      <w:tr w14:paraId="45C3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shd w:val="clear" w:color="auto" w:fill="auto"/>
            <w:tcMar>
              <w:top w:w="120" w:type="dxa"/>
              <w:left w:w="120" w:type="dxa"/>
              <w:bottom w:w="120" w:type="dxa"/>
              <w:right w:w="120" w:type="dxa"/>
            </w:tcMar>
            <w:vAlign w:val="center"/>
          </w:tcPr>
          <w:p w14:paraId="636CBDDF">
            <w:pPr>
              <w:keepNext w:val="0"/>
              <w:keepLines w:val="0"/>
              <w:widowControl/>
              <w:suppressLineNumbers w:val="0"/>
              <w:spacing w:before="0" w:beforeAutospacing="0" w:after="0" w:afterAutospacing="0"/>
              <w:ind w:left="0" w:right="0"/>
              <w:rPr>
                <w:rFonts w:hint="default" w:ascii="Arial" w:hAnsi="Arial" w:cs="Arial"/>
                <w:sz w:val="20"/>
                <w:szCs w:val="20"/>
              </w:rPr>
            </w:pPr>
          </w:p>
        </w:tc>
        <w:tc>
          <w:tcPr>
            <w:tcW w:w="1542" w:type="dxa"/>
            <w:shd w:val="clear" w:color="auto" w:fill="auto"/>
            <w:tcMar>
              <w:top w:w="120" w:type="dxa"/>
              <w:left w:w="120" w:type="dxa"/>
              <w:bottom w:w="120" w:type="dxa"/>
              <w:right w:w="120" w:type="dxa"/>
            </w:tcMar>
            <w:vAlign w:val="top"/>
          </w:tcPr>
          <w:p w14:paraId="69F01E67">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分部分项低碳施工</w:t>
            </w:r>
          </w:p>
        </w:tc>
        <w:tc>
          <w:tcPr>
            <w:tcW w:w="2025" w:type="dxa"/>
            <w:shd w:val="clear" w:color="auto" w:fill="auto"/>
            <w:tcMar>
              <w:top w:w="120" w:type="dxa"/>
              <w:left w:w="120" w:type="dxa"/>
              <w:bottom w:w="120" w:type="dxa"/>
              <w:right w:w="120" w:type="dxa"/>
            </w:tcMar>
            <w:vAlign w:val="top"/>
          </w:tcPr>
          <w:p w14:paraId="10322E65">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15</w:t>
            </w:r>
          </w:p>
        </w:tc>
        <w:tc>
          <w:tcPr>
            <w:tcW w:w="3816" w:type="dxa"/>
            <w:shd w:val="clear" w:color="auto" w:fill="auto"/>
            <w:tcMar>
              <w:top w:w="120" w:type="dxa"/>
              <w:left w:w="120" w:type="dxa"/>
              <w:bottom w:w="120" w:type="dxa"/>
              <w:right w:w="120" w:type="dxa"/>
            </w:tcMar>
            <w:vAlign w:val="top"/>
          </w:tcPr>
          <w:p w14:paraId="53167440">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基础、主体、围护、装饰、机电低碳工艺（第5.3-5.7节）</w:t>
            </w:r>
          </w:p>
        </w:tc>
      </w:tr>
      <w:tr w14:paraId="7EC0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shd w:val="clear" w:color="auto" w:fill="auto"/>
            <w:tcMar>
              <w:top w:w="120" w:type="dxa"/>
              <w:left w:w="120" w:type="dxa"/>
              <w:bottom w:w="120" w:type="dxa"/>
              <w:right w:w="120" w:type="dxa"/>
            </w:tcMar>
            <w:vAlign w:val="center"/>
          </w:tcPr>
          <w:p w14:paraId="19374F74">
            <w:pPr>
              <w:keepNext w:val="0"/>
              <w:keepLines w:val="0"/>
              <w:widowControl/>
              <w:suppressLineNumbers w:val="0"/>
              <w:spacing w:before="0" w:beforeAutospacing="0" w:after="0" w:afterAutospacing="0"/>
              <w:ind w:left="0" w:right="0"/>
              <w:rPr>
                <w:rFonts w:hint="default" w:ascii="Arial" w:hAnsi="Arial" w:cs="Arial"/>
                <w:sz w:val="20"/>
                <w:szCs w:val="20"/>
              </w:rPr>
            </w:pPr>
          </w:p>
        </w:tc>
        <w:tc>
          <w:tcPr>
            <w:tcW w:w="1542" w:type="dxa"/>
            <w:shd w:val="clear" w:color="auto" w:fill="auto"/>
            <w:tcMar>
              <w:top w:w="120" w:type="dxa"/>
              <w:left w:w="120" w:type="dxa"/>
              <w:bottom w:w="120" w:type="dxa"/>
              <w:right w:w="120" w:type="dxa"/>
            </w:tcMar>
            <w:vAlign w:val="top"/>
          </w:tcPr>
          <w:p w14:paraId="536AD27D">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材料循环利用</w:t>
            </w:r>
          </w:p>
        </w:tc>
        <w:tc>
          <w:tcPr>
            <w:tcW w:w="2025" w:type="dxa"/>
            <w:shd w:val="clear" w:color="auto" w:fill="auto"/>
            <w:tcMar>
              <w:top w:w="120" w:type="dxa"/>
              <w:left w:w="120" w:type="dxa"/>
              <w:bottom w:w="120" w:type="dxa"/>
              <w:right w:w="120" w:type="dxa"/>
            </w:tcMar>
            <w:vAlign w:val="top"/>
          </w:tcPr>
          <w:p w14:paraId="6D128BAC">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7</w:t>
            </w:r>
          </w:p>
        </w:tc>
        <w:tc>
          <w:tcPr>
            <w:tcW w:w="3816" w:type="dxa"/>
            <w:shd w:val="clear" w:color="auto" w:fill="auto"/>
            <w:tcMar>
              <w:top w:w="120" w:type="dxa"/>
              <w:left w:w="120" w:type="dxa"/>
              <w:bottom w:w="120" w:type="dxa"/>
              <w:right w:w="120" w:type="dxa"/>
            </w:tcMar>
            <w:vAlign w:val="top"/>
          </w:tcPr>
          <w:p w14:paraId="424E4E90">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周转材料、再生材料、废弃物资源化（第5.4-5.6节）</w:t>
            </w:r>
          </w:p>
        </w:tc>
      </w:tr>
      <w:tr w14:paraId="591F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shd w:val="clear" w:color="auto" w:fill="auto"/>
            <w:tcMar>
              <w:top w:w="120" w:type="dxa"/>
              <w:left w:w="120" w:type="dxa"/>
              <w:bottom w:w="120" w:type="dxa"/>
              <w:right w:w="120" w:type="dxa"/>
            </w:tcMar>
            <w:vAlign w:val="center"/>
          </w:tcPr>
          <w:p w14:paraId="3B593252">
            <w:pPr>
              <w:keepNext w:val="0"/>
              <w:keepLines w:val="0"/>
              <w:widowControl/>
              <w:suppressLineNumbers w:val="0"/>
              <w:spacing w:before="0" w:beforeAutospacing="0" w:after="0" w:afterAutospacing="0"/>
              <w:ind w:left="0" w:right="0"/>
              <w:rPr>
                <w:rFonts w:hint="default" w:ascii="Arial" w:hAnsi="Arial" w:cs="Arial"/>
                <w:sz w:val="20"/>
                <w:szCs w:val="20"/>
              </w:rPr>
            </w:pPr>
          </w:p>
        </w:tc>
        <w:tc>
          <w:tcPr>
            <w:tcW w:w="1542" w:type="dxa"/>
            <w:shd w:val="clear" w:color="auto" w:fill="auto"/>
            <w:tcMar>
              <w:top w:w="120" w:type="dxa"/>
              <w:left w:w="120" w:type="dxa"/>
              <w:bottom w:w="120" w:type="dxa"/>
              <w:right w:w="120" w:type="dxa"/>
            </w:tcMar>
            <w:vAlign w:val="top"/>
          </w:tcPr>
          <w:p w14:paraId="454CA0F4">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可再生能源应用</w:t>
            </w:r>
          </w:p>
        </w:tc>
        <w:tc>
          <w:tcPr>
            <w:tcW w:w="2025" w:type="dxa"/>
            <w:shd w:val="clear" w:color="auto" w:fill="auto"/>
            <w:tcMar>
              <w:top w:w="120" w:type="dxa"/>
              <w:left w:w="120" w:type="dxa"/>
              <w:bottom w:w="120" w:type="dxa"/>
              <w:right w:w="120" w:type="dxa"/>
            </w:tcMar>
            <w:vAlign w:val="top"/>
          </w:tcPr>
          <w:p w14:paraId="2B66B795">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5</w:t>
            </w:r>
          </w:p>
        </w:tc>
        <w:tc>
          <w:tcPr>
            <w:tcW w:w="3816" w:type="dxa"/>
            <w:shd w:val="clear" w:color="auto" w:fill="auto"/>
            <w:tcMar>
              <w:top w:w="120" w:type="dxa"/>
              <w:left w:w="120" w:type="dxa"/>
              <w:bottom w:w="120" w:type="dxa"/>
              <w:right w:w="120" w:type="dxa"/>
            </w:tcMar>
            <w:vAlign w:val="top"/>
          </w:tcPr>
          <w:p w14:paraId="31B9441F">
            <w:pPr>
              <w:keepNext w:val="0"/>
              <w:keepLines w:val="0"/>
              <w:widowControl/>
              <w:suppressLineNumbers w:val="0"/>
              <w:kinsoku/>
              <w:autoSpaceDE/>
              <w:autoSpaceDN w:val="0"/>
              <w:adjustRightInd/>
              <w:snapToGrid/>
              <w:spacing w:before="0" w:beforeAutospacing="0" w:after="0" w:afterAutospacing="0"/>
              <w:ind w:left="0" w:right="0"/>
              <w:jc w:val="left"/>
              <w:rPr>
                <w:rFonts w:hint="eastAsia"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光伏、热泵、绿电自发自用（第5.7节）</w:t>
            </w:r>
          </w:p>
        </w:tc>
      </w:tr>
      <w:tr w14:paraId="4741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72" w:type="dxa"/>
            <w:vMerge w:val="restart"/>
            <w:shd w:val="clear" w:color="auto" w:fill="auto"/>
            <w:tcMar>
              <w:top w:w="120" w:type="dxa"/>
              <w:left w:w="120" w:type="dxa"/>
              <w:bottom w:w="120" w:type="dxa"/>
              <w:right w:w="120" w:type="dxa"/>
            </w:tcMar>
            <w:vAlign w:val="center"/>
          </w:tcPr>
          <w:p w14:paraId="4A01E408">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Arial"/>
                <w:lang w:val="en-US" w:eastAsia="zh-CN"/>
              </w:rPr>
            </w:pPr>
            <w:r>
              <w:rPr>
                <w:rFonts w:hint="eastAsia" w:ascii="Times New Roman" w:hAnsi="Times New Roman" w:eastAsia="宋体" w:cs="宋体"/>
                <w:snapToGrid w:val="0"/>
                <w:color w:val="000000"/>
                <w:kern w:val="0"/>
                <w:sz w:val="21"/>
                <w:szCs w:val="21"/>
                <w:lang w:val="en-US" w:eastAsia="zh-CN" w:bidi="ar"/>
              </w:rPr>
              <w:t>供应链管理（</w:t>
            </w:r>
            <w:r>
              <w:rPr>
                <w:rFonts w:hint="default" w:ascii="Times New Roman" w:hAnsi="Times New Roman" w:eastAsia="宋体" w:cs="Arial"/>
                <w:snapToGrid w:val="0"/>
                <w:color w:val="000000"/>
                <w:kern w:val="0"/>
                <w:sz w:val="21"/>
                <w:szCs w:val="21"/>
                <w:lang w:val="en-US" w:eastAsia="zh-CN" w:bidi="ar"/>
              </w:rPr>
              <w:t xml:space="preserve">20 </w:t>
            </w:r>
            <w:r>
              <w:rPr>
                <w:rFonts w:hint="eastAsia" w:ascii="Times New Roman" w:hAnsi="Times New Roman" w:eastAsia="宋体" w:cs="宋体"/>
                <w:snapToGrid w:val="0"/>
                <w:color w:val="000000"/>
                <w:kern w:val="0"/>
                <w:sz w:val="21"/>
                <w:szCs w:val="21"/>
                <w:lang w:val="en-US" w:eastAsia="zh-CN" w:bidi="ar"/>
              </w:rPr>
              <w:t>分）</w:t>
            </w:r>
          </w:p>
        </w:tc>
        <w:tc>
          <w:tcPr>
            <w:tcW w:w="1542" w:type="dxa"/>
            <w:shd w:val="clear" w:color="auto" w:fill="auto"/>
            <w:tcMar>
              <w:top w:w="120" w:type="dxa"/>
              <w:left w:w="120" w:type="dxa"/>
              <w:bottom w:w="120" w:type="dxa"/>
              <w:right w:w="120" w:type="dxa"/>
            </w:tcMar>
            <w:vAlign w:val="top"/>
          </w:tcPr>
          <w:p w14:paraId="1D873781">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低碳材料管理</w:t>
            </w:r>
          </w:p>
        </w:tc>
        <w:tc>
          <w:tcPr>
            <w:tcW w:w="2025" w:type="dxa"/>
            <w:shd w:val="clear" w:color="auto" w:fill="auto"/>
            <w:tcMar>
              <w:top w:w="120" w:type="dxa"/>
              <w:left w:w="120" w:type="dxa"/>
              <w:bottom w:w="120" w:type="dxa"/>
              <w:right w:w="120" w:type="dxa"/>
            </w:tcMar>
            <w:vAlign w:val="top"/>
          </w:tcPr>
          <w:p w14:paraId="4D0EA3DE">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7</w:t>
            </w:r>
          </w:p>
        </w:tc>
        <w:tc>
          <w:tcPr>
            <w:tcW w:w="3816" w:type="dxa"/>
            <w:shd w:val="clear" w:color="auto" w:fill="auto"/>
            <w:tcMar>
              <w:top w:w="120" w:type="dxa"/>
              <w:left w:w="120" w:type="dxa"/>
              <w:bottom w:w="120" w:type="dxa"/>
              <w:right w:w="120" w:type="dxa"/>
            </w:tcMar>
            <w:vAlign w:val="top"/>
          </w:tcPr>
          <w:p w14:paraId="5CF1180A">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低碳建材准入、本地采购、再生材料应用（第6.2节）</w:t>
            </w:r>
          </w:p>
        </w:tc>
      </w:tr>
      <w:tr w14:paraId="2E4B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shd w:val="clear" w:color="auto" w:fill="auto"/>
            <w:tcMar>
              <w:top w:w="120" w:type="dxa"/>
              <w:left w:w="120" w:type="dxa"/>
              <w:bottom w:w="120" w:type="dxa"/>
              <w:right w:w="120" w:type="dxa"/>
            </w:tcMar>
            <w:vAlign w:val="center"/>
          </w:tcPr>
          <w:p w14:paraId="65966761">
            <w:pPr>
              <w:keepNext w:val="0"/>
              <w:keepLines w:val="0"/>
              <w:widowControl/>
              <w:suppressLineNumbers w:val="0"/>
              <w:spacing w:before="0" w:beforeAutospacing="0" w:after="0" w:afterAutospacing="0"/>
              <w:ind w:left="0" w:right="0"/>
              <w:rPr>
                <w:rFonts w:hint="default" w:ascii="Arial" w:hAnsi="Arial" w:cs="Arial"/>
                <w:sz w:val="20"/>
                <w:szCs w:val="20"/>
              </w:rPr>
            </w:pPr>
          </w:p>
        </w:tc>
        <w:tc>
          <w:tcPr>
            <w:tcW w:w="1542" w:type="dxa"/>
            <w:shd w:val="clear" w:color="auto" w:fill="auto"/>
            <w:tcMar>
              <w:top w:w="120" w:type="dxa"/>
              <w:left w:w="120" w:type="dxa"/>
              <w:bottom w:w="120" w:type="dxa"/>
              <w:right w:w="120" w:type="dxa"/>
            </w:tcMar>
            <w:vAlign w:val="top"/>
          </w:tcPr>
          <w:p w14:paraId="5CCDC38A">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低碳供应商管理</w:t>
            </w:r>
          </w:p>
        </w:tc>
        <w:tc>
          <w:tcPr>
            <w:tcW w:w="2025" w:type="dxa"/>
            <w:shd w:val="clear" w:color="auto" w:fill="auto"/>
            <w:tcMar>
              <w:top w:w="120" w:type="dxa"/>
              <w:left w:w="120" w:type="dxa"/>
              <w:bottom w:w="120" w:type="dxa"/>
              <w:right w:w="120" w:type="dxa"/>
            </w:tcMar>
            <w:vAlign w:val="top"/>
          </w:tcPr>
          <w:p w14:paraId="46FF9DC3">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5</w:t>
            </w:r>
          </w:p>
        </w:tc>
        <w:tc>
          <w:tcPr>
            <w:tcW w:w="3816" w:type="dxa"/>
            <w:shd w:val="clear" w:color="auto" w:fill="auto"/>
            <w:tcMar>
              <w:top w:w="120" w:type="dxa"/>
              <w:left w:w="120" w:type="dxa"/>
              <w:bottom w:w="120" w:type="dxa"/>
              <w:right w:w="120" w:type="dxa"/>
            </w:tcMar>
            <w:vAlign w:val="top"/>
          </w:tcPr>
          <w:p w14:paraId="25AA5E11">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供应商准入、绩效评估、合同低碳条款（第6.3节）</w:t>
            </w:r>
          </w:p>
        </w:tc>
      </w:tr>
      <w:tr w14:paraId="5CFB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vMerge w:val="continue"/>
            <w:shd w:val="clear" w:color="auto" w:fill="auto"/>
            <w:tcMar>
              <w:top w:w="120" w:type="dxa"/>
              <w:left w:w="120" w:type="dxa"/>
              <w:bottom w:w="120" w:type="dxa"/>
              <w:right w:w="120" w:type="dxa"/>
            </w:tcMar>
            <w:vAlign w:val="center"/>
          </w:tcPr>
          <w:p w14:paraId="67132AF3">
            <w:pPr>
              <w:keepNext w:val="0"/>
              <w:keepLines w:val="0"/>
              <w:widowControl/>
              <w:suppressLineNumbers w:val="0"/>
              <w:spacing w:before="0" w:beforeAutospacing="0" w:after="0" w:afterAutospacing="0"/>
              <w:ind w:left="0" w:right="0"/>
              <w:rPr>
                <w:rFonts w:hint="default" w:ascii="Arial" w:hAnsi="Arial" w:cs="Arial"/>
                <w:sz w:val="20"/>
                <w:szCs w:val="20"/>
              </w:rPr>
            </w:pPr>
          </w:p>
        </w:tc>
        <w:tc>
          <w:tcPr>
            <w:tcW w:w="1542" w:type="dxa"/>
            <w:shd w:val="clear" w:color="auto" w:fill="auto"/>
            <w:tcMar>
              <w:top w:w="120" w:type="dxa"/>
              <w:left w:w="120" w:type="dxa"/>
              <w:bottom w:w="120" w:type="dxa"/>
              <w:right w:w="120" w:type="dxa"/>
            </w:tcMar>
            <w:vAlign w:val="top"/>
          </w:tcPr>
          <w:p w14:paraId="423E16B8">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运输仓储低碳管控</w:t>
            </w:r>
          </w:p>
        </w:tc>
        <w:tc>
          <w:tcPr>
            <w:tcW w:w="2025" w:type="dxa"/>
            <w:shd w:val="clear" w:color="auto" w:fill="auto"/>
            <w:tcMar>
              <w:top w:w="120" w:type="dxa"/>
              <w:left w:w="120" w:type="dxa"/>
              <w:bottom w:w="120" w:type="dxa"/>
              <w:right w:w="120" w:type="dxa"/>
            </w:tcMar>
            <w:vAlign w:val="top"/>
          </w:tcPr>
          <w:p w14:paraId="20736D4C">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5</w:t>
            </w:r>
          </w:p>
        </w:tc>
        <w:tc>
          <w:tcPr>
            <w:tcW w:w="3816" w:type="dxa"/>
            <w:shd w:val="clear" w:color="auto" w:fill="auto"/>
            <w:tcMar>
              <w:top w:w="120" w:type="dxa"/>
              <w:left w:w="120" w:type="dxa"/>
              <w:bottom w:w="120" w:type="dxa"/>
              <w:right w:w="120" w:type="dxa"/>
            </w:tcMar>
            <w:vAlign w:val="top"/>
          </w:tcPr>
          <w:p w14:paraId="2D3DF31A">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新能源运输、仓储节能、短距配送 （第6.4节）</w:t>
            </w:r>
          </w:p>
        </w:tc>
      </w:tr>
      <w:tr w14:paraId="4595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72" w:type="dxa"/>
            <w:vMerge w:val="continue"/>
            <w:shd w:val="clear" w:color="auto" w:fill="auto"/>
            <w:tcMar>
              <w:top w:w="120" w:type="dxa"/>
              <w:left w:w="120" w:type="dxa"/>
              <w:bottom w:w="120" w:type="dxa"/>
              <w:right w:w="120" w:type="dxa"/>
            </w:tcMar>
            <w:vAlign w:val="center"/>
          </w:tcPr>
          <w:p w14:paraId="2E4B6946">
            <w:pPr>
              <w:keepNext w:val="0"/>
              <w:keepLines w:val="0"/>
              <w:widowControl/>
              <w:suppressLineNumbers w:val="0"/>
              <w:spacing w:before="0" w:beforeAutospacing="0" w:after="0" w:afterAutospacing="0"/>
              <w:ind w:left="0" w:right="0"/>
              <w:rPr>
                <w:rFonts w:hint="default" w:ascii="Arial" w:hAnsi="Arial" w:cs="Arial"/>
                <w:sz w:val="20"/>
                <w:szCs w:val="20"/>
              </w:rPr>
            </w:pPr>
          </w:p>
        </w:tc>
        <w:tc>
          <w:tcPr>
            <w:tcW w:w="1542" w:type="dxa"/>
            <w:shd w:val="clear" w:color="auto" w:fill="auto"/>
            <w:tcMar>
              <w:top w:w="120" w:type="dxa"/>
              <w:left w:w="120" w:type="dxa"/>
              <w:bottom w:w="120" w:type="dxa"/>
              <w:right w:w="120" w:type="dxa"/>
            </w:tcMar>
            <w:vAlign w:val="top"/>
          </w:tcPr>
          <w:p w14:paraId="61819611">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供应链台账追溯</w:t>
            </w:r>
          </w:p>
        </w:tc>
        <w:tc>
          <w:tcPr>
            <w:tcW w:w="2025" w:type="dxa"/>
            <w:shd w:val="clear" w:color="auto" w:fill="auto"/>
            <w:tcMar>
              <w:top w:w="120" w:type="dxa"/>
              <w:left w:w="120" w:type="dxa"/>
              <w:bottom w:w="120" w:type="dxa"/>
              <w:right w:w="120" w:type="dxa"/>
            </w:tcMar>
            <w:vAlign w:val="top"/>
          </w:tcPr>
          <w:p w14:paraId="36FFDD75">
            <w:pPr>
              <w:keepNext w:val="0"/>
              <w:keepLines w:val="0"/>
              <w:widowControl/>
              <w:suppressLineNumbers w:val="0"/>
              <w:kinsoku/>
              <w:autoSpaceDE/>
              <w:autoSpaceDN w:val="0"/>
              <w:adjustRightInd/>
              <w:snapToGrid/>
              <w:spacing w:before="0" w:beforeAutospacing="0" w:after="0" w:afterAutospacing="0"/>
              <w:ind w:left="0" w:right="0"/>
              <w:jc w:val="left"/>
              <w:rPr>
                <w:rFonts w:hint="eastAsia"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3</w:t>
            </w:r>
          </w:p>
        </w:tc>
        <w:tc>
          <w:tcPr>
            <w:tcW w:w="3816" w:type="dxa"/>
            <w:shd w:val="clear" w:color="auto" w:fill="auto"/>
            <w:tcMar>
              <w:top w:w="120" w:type="dxa"/>
              <w:left w:w="120" w:type="dxa"/>
              <w:bottom w:w="120" w:type="dxa"/>
              <w:right w:w="120" w:type="dxa"/>
            </w:tcMar>
            <w:vAlign w:val="top"/>
          </w:tcPr>
          <w:p w14:paraId="36A8A4DB">
            <w:pPr>
              <w:keepNext w:val="0"/>
              <w:keepLines w:val="0"/>
              <w:widowControl/>
              <w:suppressLineNumbers w:val="0"/>
              <w:kinsoku/>
              <w:autoSpaceDE/>
              <w:autoSpaceDN w:val="0"/>
              <w:adjustRightInd/>
              <w:snapToGrid/>
              <w:spacing w:before="0" w:beforeAutospacing="0" w:after="0" w:afterAutospacing="0"/>
              <w:ind w:left="0" w:right="0"/>
              <w:jc w:val="left"/>
              <w:rPr>
                <w:rFonts w:hint="eastAsia"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全流程台账、碳数据可追溯（第6.1节）</w:t>
            </w:r>
          </w:p>
        </w:tc>
      </w:tr>
      <w:tr w14:paraId="5413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shd w:val="clear" w:color="auto" w:fill="auto"/>
            <w:tcMar>
              <w:top w:w="120" w:type="dxa"/>
              <w:left w:w="120" w:type="dxa"/>
              <w:bottom w:w="120" w:type="dxa"/>
              <w:right w:w="120" w:type="dxa"/>
            </w:tcMar>
            <w:vAlign w:val="center"/>
          </w:tcPr>
          <w:p w14:paraId="5610DD21">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Arial"/>
                <w:lang w:val="en-US" w:eastAsia="zh-CN"/>
              </w:rPr>
            </w:pPr>
            <w:r>
              <w:rPr>
                <w:rFonts w:hint="default" w:ascii="Times New Roman" w:hAnsi="Times New Roman" w:eastAsia="宋体" w:cs="Arial"/>
                <w:lang w:val="en-US" w:eastAsia="zh-CN"/>
              </w:rPr>
              <w:t>负面扣分项</w:t>
            </w:r>
          </w:p>
        </w:tc>
        <w:tc>
          <w:tcPr>
            <w:tcW w:w="1542" w:type="dxa"/>
            <w:shd w:val="clear" w:color="auto" w:fill="auto"/>
            <w:tcMar>
              <w:top w:w="120" w:type="dxa"/>
              <w:left w:w="120" w:type="dxa"/>
              <w:bottom w:w="120" w:type="dxa"/>
              <w:right w:w="120" w:type="dxa"/>
            </w:tcMar>
            <w:vAlign w:val="top"/>
          </w:tcPr>
          <w:p w14:paraId="13DFAFD4">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通用违规情形</w:t>
            </w:r>
          </w:p>
        </w:tc>
        <w:tc>
          <w:tcPr>
            <w:tcW w:w="2025" w:type="dxa"/>
            <w:shd w:val="clear" w:color="auto" w:fill="auto"/>
            <w:tcMar>
              <w:top w:w="120" w:type="dxa"/>
              <w:left w:w="120" w:type="dxa"/>
              <w:bottom w:w="120" w:type="dxa"/>
              <w:right w:w="120" w:type="dxa"/>
            </w:tcMar>
            <w:vAlign w:val="top"/>
          </w:tcPr>
          <w:p w14:paraId="02B4F304">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w:t>
            </w:r>
          </w:p>
        </w:tc>
        <w:tc>
          <w:tcPr>
            <w:tcW w:w="3816" w:type="dxa"/>
            <w:shd w:val="clear" w:color="auto" w:fill="auto"/>
            <w:tcMar>
              <w:top w:w="120" w:type="dxa"/>
              <w:left w:w="120" w:type="dxa"/>
              <w:bottom w:w="120" w:type="dxa"/>
              <w:right w:w="120" w:type="dxa"/>
            </w:tcMar>
            <w:vAlign w:val="top"/>
          </w:tcPr>
          <w:p w14:paraId="28F76548">
            <w:pPr>
              <w:keepNext w:val="0"/>
              <w:keepLines w:val="0"/>
              <w:widowControl/>
              <w:suppressLineNumbers w:val="0"/>
              <w:kinsoku/>
              <w:autoSpaceDE/>
              <w:autoSpaceDN w:val="0"/>
              <w:adjustRightInd/>
              <w:snapToGrid/>
              <w:spacing w:before="0" w:beforeAutospacing="0" w:after="0" w:afterAutospacing="0"/>
              <w:ind w:left="0" w:right="0"/>
              <w:jc w:val="left"/>
              <w:rPr>
                <w:rFonts w:hint="default" w:ascii="Times New Roman" w:hAnsi="Times New Roman" w:eastAsia="宋体" w:cs="宋体"/>
                <w:snapToGrid w:val="0"/>
                <w:color w:val="000000"/>
                <w:kern w:val="0"/>
                <w:sz w:val="21"/>
                <w:szCs w:val="21"/>
                <w:lang w:val="en-US" w:eastAsia="zh-CN" w:bidi="ar"/>
              </w:rPr>
            </w:pPr>
            <w:r>
              <w:rPr>
                <w:rFonts w:hint="eastAsia" w:ascii="Times New Roman" w:hAnsi="Times New Roman" w:eastAsia="宋体" w:cs="宋体"/>
                <w:snapToGrid w:val="0"/>
                <w:color w:val="000000"/>
                <w:kern w:val="0"/>
                <w:sz w:val="21"/>
                <w:szCs w:val="21"/>
                <w:lang w:val="en-US" w:eastAsia="zh-CN" w:bidi="ar"/>
              </w:rPr>
              <w:t>直接抵扣总分，一票否决项直接判定不达标</w:t>
            </w:r>
          </w:p>
        </w:tc>
      </w:tr>
    </w:tbl>
    <w:p w14:paraId="0C2E8A20">
      <w:pPr>
        <w:bidi w:val="0"/>
        <w:spacing w:line="281" w:lineRule="auto"/>
        <w:jc w:val="center"/>
        <w:rPr>
          <w:rFonts w:hint="eastAsia" w:ascii="宋体" w:hAnsi="宋体" w:eastAsia="宋体" w:cs="宋体"/>
          <w:sz w:val="24"/>
          <w:szCs w:val="24"/>
          <w:lang w:val="en-US" w:eastAsia="zh-CN"/>
        </w:rPr>
      </w:pPr>
    </w:p>
    <w:p w14:paraId="529AED15">
      <w:pPr>
        <w:bidi w:val="0"/>
        <w:rPr>
          <w:color w:val="1F2329"/>
          <w:sz w:val="24"/>
          <w:szCs w:val="24"/>
        </w:rPr>
      </w:pPr>
      <w:r>
        <w:rPr>
          <w:rFonts w:hint="default" w:ascii="Times New Roman" w:hAnsi="Times New Roman" w:eastAsia="宋体" w:cs="Times New Roman"/>
          <w:b/>
          <w:bCs/>
          <w:sz w:val="24"/>
          <w:szCs w:val="24"/>
          <w:lang w:eastAsia="zh-CN"/>
        </w:rPr>
        <w:t>7</w:t>
      </w:r>
      <w:r>
        <w:rPr>
          <w:rFonts w:hint="default" w:ascii="Times New Roman" w:hAnsi="Times New Roman" w:eastAsia="宋体" w:cs="Times New Roman"/>
          <w:b/>
          <w:bCs/>
          <w:sz w:val="24"/>
          <w:szCs w:val="24"/>
          <w:lang w:val="en-US" w:eastAsia="zh-CN"/>
        </w:rPr>
        <w:t>.4.</w:t>
      </w:r>
      <w:r>
        <w:rPr>
          <w:rFonts w:hint="eastAsia" w:ascii="Times New Roman" w:hAnsi="Times New Roman" w:cs="Times New Roman"/>
          <w:b/>
          <w:bCs/>
          <w:sz w:val="24"/>
          <w:szCs w:val="24"/>
          <w:lang w:val="en-US" w:eastAsia="zh-CN"/>
        </w:rPr>
        <w:t>2</w:t>
      </w:r>
      <w:r>
        <w:rPr>
          <w:rFonts w:hint="default" w:ascii="Times New Roman" w:hAnsi="Times New Roman" w:eastAsia="宋体" w:cs="Times New Roman"/>
          <w:b/>
          <w:bCs/>
          <w:sz w:val="24"/>
          <w:szCs w:val="24"/>
          <w:lang w:eastAsia="zh-CN"/>
        </w:rPr>
        <w:t xml:space="preserve">  </w:t>
      </w:r>
      <w:r>
        <w:rPr>
          <w:rFonts w:hint="eastAsia" w:ascii="宋体" w:hAnsi="宋体" w:eastAsia="宋体" w:cs="宋体"/>
          <w:b w:val="0"/>
          <w:bCs w:val="0"/>
          <w:snapToGrid w:val="0"/>
          <w:color w:val="000000"/>
          <w:kern w:val="0"/>
          <w:sz w:val="24"/>
          <w:szCs w:val="24"/>
          <w:lang w:val="en-US" w:eastAsia="zh-CN" w:bidi="ar-SA"/>
        </w:rPr>
        <w:t xml:space="preserve">评分项 </w:t>
      </w:r>
    </w:p>
    <w:p w14:paraId="2D373067"/>
    <w:p w14:paraId="08A1215F">
      <w:pPr>
        <w:bidi w:val="0"/>
        <w:jc w:val="center"/>
        <w:rPr>
          <w:rFonts w:hint="eastAsia" w:ascii="宋体" w:hAnsi="宋体" w:eastAsia="宋体" w:cs="宋体"/>
          <w:sz w:val="24"/>
          <w:szCs w:val="24"/>
        </w:rPr>
      </w:pPr>
      <w:bookmarkStart w:id="47" w:name="heading_2"/>
      <w:r>
        <w:rPr>
          <w:rFonts w:hint="eastAsia" w:ascii="宋体" w:hAnsi="宋体" w:eastAsia="宋体" w:cs="宋体"/>
          <w:sz w:val="24"/>
          <w:szCs w:val="24"/>
        </w:rPr>
        <w:t>Ⅰ  施工管理（45分）</w:t>
      </w:r>
      <w:bookmarkEnd w:id="47"/>
    </w:p>
    <w:p w14:paraId="2F9780D0">
      <w:pPr>
        <w:bidi w:val="0"/>
        <w:rPr>
          <w:rFonts w:hint="eastAsia" w:ascii="宋体" w:hAnsi="宋体" w:eastAsia="宋体" w:cs="宋体"/>
          <w:sz w:val="24"/>
          <w:szCs w:val="24"/>
        </w:rPr>
      </w:pPr>
      <w:bookmarkStart w:id="48" w:name="heading_3"/>
      <w:r>
        <w:rPr>
          <w:rFonts w:hint="eastAsia" w:ascii="宋体" w:hAnsi="宋体" w:eastAsia="宋体" w:cs="宋体"/>
          <w:sz w:val="24"/>
          <w:szCs w:val="24"/>
        </w:rPr>
        <w:t>1. 施工前期策划（10分）</w:t>
      </w:r>
      <w:bookmarkEnd w:id="48"/>
    </w:p>
    <w:p w14:paraId="1FAE4D62">
      <w:pPr>
        <w:numPr>
          <w:ilvl w:val="0"/>
          <w:numId w:val="6"/>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零碳施工专项方案（4分）：编制完整方案并经监理审查，明确碳目标、技术措施、责任矩阵，达标得4分，缺项扣2分，未审查扣2分；</w:t>
      </w:r>
    </w:p>
    <w:p w14:paraId="565991C0">
      <w:pPr>
        <w:numPr>
          <w:ilvl w:val="0"/>
          <w:numId w:val="6"/>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全员培训交底（3分）：完成零碳施工培训及考核，记录完整，达标得3分，缺培训扣2分，缺考核扣1分；</w:t>
      </w:r>
    </w:p>
    <w:p w14:paraId="7AD0E622">
      <w:pPr>
        <w:numPr>
          <w:ilvl w:val="0"/>
          <w:numId w:val="6"/>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数字化平台搭建（3分）：搭建零碳施工数字化管理平台，实现数据采集共享，达标得3分，未共享扣1分。</w:t>
      </w:r>
    </w:p>
    <w:p w14:paraId="2789C057">
      <w:pPr>
        <w:bidi w:val="0"/>
        <w:rPr>
          <w:rFonts w:hint="eastAsia" w:ascii="宋体" w:hAnsi="宋体" w:eastAsia="宋体" w:cs="宋体"/>
          <w:sz w:val="24"/>
          <w:szCs w:val="24"/>
        </w:rPr>
      </w:pPr>
      <w:bookmarkStart w:id="49" w:name="heading_4"/>
      <w:r>
        <w:rPr>
          <w:rFonts w:hint="eastAsia" w:ascii="宋体" w:hAnsi="宋体" w:eastAsia="宋体" w:cs="宋体"/>
          <w:sz w:val="24"/>
          <w:szCs w:val="24"/>
        </w:rPr>
        <w:t>2. 施工过程碳管控（15分）</w:t>
      </w:r>
      <w:bookmarkEnd w:id="49"/>
    </w:p>
    <w:p w14:paraId="71301FE4">
      <w:pPr>
        <w:numPr>
          <w:ilvl w:val="0"/>
          <w:numId w:val="7"/>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绿电全覆盖（6分）：施工现场100%使用绿电，非应急禁用柴油发电机，达标得6分，每缺1个区域扣2分；</w:t>
      </w:r>
    </w:p>
    <w:p w14:paraId="51AE8DFE">
      <w:pPr>
        <w:numPr>
          <w:ilvl w:val="0"/>
          <w:numId w:val="7"/>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设备电动化（5分）：施工机械电动/混动替代率≥80%，燃油设备仅应急使用且有审批，达标得5分，替代率每低10%扣1分；</w:t>
      </w:r>
    </w:p>
    <w:p w14:paraId="606ECAB7">
      <w:pPr>
        <w:numPr>
          <w:ilvl w:val="0"/>
          <w:numId w:val="7"/>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碳排放监测（4分）：建立能源分项计量台账，按月编制碳排放报告，达标得4分，缺台账扣2分，缺报告扣2分。</w:t>
      </w:r>
    </w:p>
    <w:p w14:paraId="04C09171">
      <w:pPr>
        <w:bidi w:val="0"/>
        <w:rPr>
          <w:rFonts w:hint="eastAsia" w:ascii="宋体" w:hAnsi="宋体" w:eastAsia="宋体" w:cs="宋体"/>
          <w:sz w:val="24"/>
          <w:szCs w:val="24"/>
        </w:rPr>
      </w:pPr>
      <w:bookmarkStart w:id="50" w:name="heading_5"/>
      <w:r>
        <w:rPr>
          <w:rFonts w:hint="eastAsia" w:ascii="宋体" w:hAnsi="宋体" w:eastAsia="宋体" w:cs="宋体"/>
          <w:sz w:val="24"/>
          <w:szCs w:val="24"/>
        </w:rPr>
        <w:t>3. 施工后期管理（10分）</w:t>
      </w:r>
      <w:bookmarkEnd w:id="50"/>
    </w:p>
    <w:p w14:paraId="2E91B497">
      <w:pPr>
        <w:numPr>
          <w:ilvl w:val="0"/>
          <w:numId w:val="8"/>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竣工验收核查（4分）：完成零碳施工效果核查，提交碳排放核算报告，达标得4分，缺核查扣2分，缺报告扣2分；</w:t>
      </w:r>
    </w:p>
    <w:p w14:paraId="07794835">
      <w:pPr>
        <w:numPr>
          <w:ilvl w:val="0"/>
          <w:numId w:val="8"/>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废弃物回收（3分）：竣工验收阶段废弃物回收利用率≥60%，达标得3分，每低5%扣1分；</w:t>
      </w:r>
    </w:p>
    <w:p w14:paraId="2D5AEE45">
      <w:pPr>
        <w:numPr>
          <w:ilvl w:val="0"/>
          <w:numId w:val="8"/>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资料归档（3分）：电子化资料比例≥80%，台账留存≥5年，达标得3分，未达标扣1-3分。</w:t>
      </w:r>
    </w:p>
    <w:p w14:paraId="506624C4">
      <w:pPr>
        <w:bidi w:val="0"/>
        <w:rPr>
          <w:rFonts w:hint="eastAsia" w:ascii="宋体" w:hAnsi="宋体" w:eastAsia="宋体" w:cs="宋体"/>
          <w:sz w:val="24"/>
          <w:szCs w:val="24"/>
        </w:rPr>
      </w:pPr>
      <w:bookmarkStart w:id="51" w:name="heading_6"/>
      <w:r>
        <w:rPr>
          <w:rFonts w:hint="eastAsia" w:ascii="宋体" w:hAnsi="宋体" w:eastAsia="宋体" w:cs="宋体"/>
          <w:sz w:val="24"/>
          <w:szCs w:val="24"/>
        </w:rPr>
        <w:t>4. 安全应急协同（10分）</w:t>
      </w:r>
      <w:bookmarkEnd w:id="51"/>
    </w:p>
    <w:p w14:paraId="3CDF61F4">
      <w:pPr>
        <w:numPr>
          <w:ilvl w:val="0"/>
          <w:numId w:val="9"/>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专项应急预案（4分）：编制零碳施工专项预案并备案，达标得4分，缺预案扣4分；</w:t>
      </w:r>
    </w:p>
    <w:p w14:paraId="03D759FB">
      <w:pPr>
        <w:numPr>
          <w:ilvl w:val="0"/>
          <w:numId w:val="9"/>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应急演练（3分）：每年开展1次专项应急演练并复盘，达标得3分，未演练扣3分；</w:t>
      </w:r>
    </w:p>
    <w:p w14:paraId="4F8BDAE5">
      <w:pPr>
        <w:numPr>
          <w:ilvl w:val="0"/>
          <w:numId w:val="9"/>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事故碳补偿（3分）：事故后完成等额碳补偿，达标得3分，未补偿扣3分。</w:t>
      </w:r>
    </w:p>
    <w:p w14:paraId="23A8DD48">
      <w:pPr>
        <w:bidi w:val="0"/>
        <w:jc w:val="center"/>
        <w:rPr>
          <w:rFonts w:hint="eastAsia" w:ascii="宋体" w:hAnsi="宋体" w:eastAsia="宋体" w:cs="宋体"/>
          <w:sz w:val="24"/>
          <w:szCs w:val="24"/>
        </w:rPr>
      </w:pPr>
      <w:bookmarkStart w:id="52" w:name="heading_7"/>
    </w:p>
    <w:p w14:paraId="2421CB5F">
      <w:pPr>
        <w:bidi w:val="0"/>
        <w:jc w:val="center"/>
        <w:rPr>
          <w:rFonts w:hint="eastAsia" w:ascii="宋体" w:hAnsi="宋体" w:eastAsia="宋体" w:cs="宋体"/>
          <w:sz w:val="24"/>
          <w:szCs w:val="24"/>
        </w:rPr>
      </w:pPr>
      <w:r>
        <w:rPr>
          <w:rFonts w:hint="eastAsia" w:ascii="宋体" w:hAnsi="宋体" w:eastAsia="宋体" w:cs="宋体"/>
          <w:sz w:val="24"/>
          <w:szCs w:val="24"/>
        </w:rPr>
        <w:t>Ⅱ</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施工技术（35分）</w:t>
      </w:r>
      <w:bookmarkEnd w:id="52"/>
    </w:p>
    <w:p w14:paraId="28DD433F">
      <w:pPr>
        <w:bidi w:val="0"/>
        <w:rPr>
          <w:rFonts w:hint="eastAsia" w:ascii="宋体" w:hAnsi="宋体" w:eastAsia="宋体" w:cs="宋体"/>
          <w:sz w:val="24"/>
          <w:szCs w:val="24"/>
        </w:rPr>
      </w:pPr>
      <w:bookmarkStart w:id="53" w:name="heading_8"/>
      <w:r>
        <w:rPr>
          <w:rFonts w:hint="eastAsia" w:ascii="宋体" w:hAnsi="宋体" w:eastAsia="宋体" w:cs="宋体"/>
          <w:sz w:val="24"/>
          <w:szCs w:val="24"/>
        </w:rPr>
        <w:t>1. 施工准备低碳技术（8分）</w:t>
      </w:r>
      <w:bookmarkEnd w:id="53"/>
    </w:p>
    <w:p w14:paraId="7C7F5910">
      <w:pPr>
        <w:numPr>
          <w:ilvl w:val="0"/>
          <w:numId w:val="10"/>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土方平衡（3分）：常规场地土方平衡率≥60%，核心区≥40%，达标得3分，未达标扣1-3分；</w:t>
      </w:r>
    </w:p>
    <w:p w14:paraId="2C3466AB">
      <w:pPr>
        <w:numPr>
          <w:ilvl w:val="0"/>
          <w:numId w:val="10"/>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临时设施（3分）：临时设施装配化率≥80%，周转次数≥10次，达标得3分，任一项不达标扣1.5分；</w:t>
      </w:r>
    </w:p>
    <w:p w14:paraId="4B8B155D">
      <w:pPr>
        <w:numPr>
          <w:ilvl w:val="0"/>
          <w:numId w:val="10"/>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临时用能（2分）：临时用电全用绿电，设置分项计量，达标得2分，未达标扣2分。</w:t>
      </w:r>
    </w:p>
    <w:p w14:paraId="0EFD8DF3">
      <w:pPr>
        <w:bidi w:val="0"/>
        <w:rPr>
          <w:rFonts w:hint="eastAsia" w:ascii="宋体" w:hAnsi="宋体" w:eastAsia="宋体" w:cs="宋体"/>
          <w:sz w:val="24"/>
          <w:szCs w:val="24"/>
        </w:rPr>
      </w:pPr>
      <w:bookmarkStart w:id="54" w:name="heading_9"/>
      <w:r>
        <w:rPr>
          <w:rFonts w:hint="eastAsia" w:ascii="宋体" w:hAnsi="宋体" w:eastAsia="宋体" w:cs="宋体"/>
          <w:sz w:val="24"/>
          <w:szCs w:val="24"/>
        </w:rPr>
        <w:t>2. 分部分项低碳施工（15分）</w:t>
      </w:r>
      <w:bookmarkEnd w:id="54"/>
    </w:p>
    <w:p w14:paraId="4D75CE02">
      <w:pPr>
        <w:numPr>
          <w:ilvl w:val="0"/>
          <w:numId w:val="11"/>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基础/主体工程（5分）：装配式钢支撑周转≥20次、再生骨料混凝土掺量≥20%，达标得5分，任一项不达标扣2.5分；</w:t>
      </w:r>
    </w:p>
    <w:p w14:paraId="70B62434">
      <w:pPr>
        <w:numPr>
          <w:ilvl w:val="0"/>
          <w:numId w:val="11"/>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围护/装饰工程（5分）：干法施工为主、湿作业≤20%，达标得5分，超标扣5分；</w:t>
      </w:r>
    </w:p>
    <w:p w14:paraId="616D5449">
      <w:pPr>
        <w:numPr>
          <w:ilvl w:val="0"/>
          <w:numId w:val="11"/>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机电安装（5分）：BIM深化设计、预制率≥40%，达标得5分，任一项不达标扣2.5分。</w:t>
      </w:r>
    </w:p>
    <w:p w14:paraId="27C5866C">
      <w:pPr>
        <w:bidi w:val="0"/>
        <w:rPr>
          <w:rFonts w:hint="eastAsia" w:ascii="宋体" w:hAnsi="宋体" w:eastAsia="宋体" w:cs="宋体"/>
          <w:sz w:val="24"/>
          <w:szCs w:val="24"/>
        </w:rPr>
      </w:pPr>
      <w:bookmarkStart w:id="55" w:name="heading_10"/>
      <w:r>
        <w:rPr>
          <w:rFonts w:hint="eastAsia" w:ascii="宋体" w:hAnsi="宋体" w:eastAsia="宋体" w:cs="宋体"/>
          <w:sz w:val="24"/>
          <w:szCs w:val="24"/>
        </w:rPr>
        <w:t>3. 材料循环利用（7分）</w:t>
      </w:r>
      <w:bookmarkEnd w:id="55"/>
    </w:p>
    <w:p w14:paraId="753150A4">
      <w:pPr>
        <w:numPr>
          <w:ilvl w:val="0"/>
          <w:numId w:val="12"/>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周转材料（3分）：模板周转≥30次、可周转材料重复使用≥50次，达标得3分，任一项不达标扣1.5分；</w:t>
      </w:r>
    </w:p>
    <w:p w14:paraId="699A6941">
      <w:pPr>
        <w:numPr>
          <w:ilvl w:val="0"/>
          <w:numId w:val="12"/>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再生材料（4分）：再生建材应用达标，检测报告齐全，达标得4分，未达标扣4分。</w:t>
      </w:r>
    </w:p>
    <w:p w14:paraId="121B7B90">
      <w:pPr>
        <w:bidi w:val="0"/>
        <w:rPr>
          <w:rFonts w:hint="eastAsia" w:ascii="宋体" w:hAnsi="宋体" w:eastAsia="宋体" w:cs="宋体"/>
          <w:sz w:val="24"/>
          <w:szCs w:val="24"/>
        </w:rPr>
      </w:pPr>
      <w:bookmarkStart w:id="56" w:name="heading_11"/>
      <w:r>
        <w:rPr>
          <w:rFonts w:hint="eastAsia" w:ascii="宋体" w:hAnsi="宋体" w:eastAsia="宋体" w:cs="宋体"/>
          <w:sz w:val="24"/>
          <w:szCs w:val="24"/>
        </w:rPr>
        <w:t>4. 可再生能源应用（5分）</w:t>
      </w:r>
      <w:bookmarkEnd w:id="56"/>
    </w:p>
    <w:p w14:paraId="0FE6BFB3">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光伏/热泵系统安装规范、独立计量完整，达标得5分，缺系统扣3分，缺计量扣2分。</w:t>
      </w:r>
    </w:p>
    <w:p w14:paraId="518D3488">
      <w:pPr>
        <w:bidi w:val="0"/>
        <w:jc w:val="center"/>
        <w:rPr>
          <w:rFonts w:hint="eastAsia" w:ascii="宋体" w:hAnsi="宋体" w:eastAsia="宋体" w:cs="宋体"/>
          <w:sz w:val="24"/>
          <w:szCs w:val="24"/>
        </w:rPr>
      </w:pPr>
      <w:bookmarkStart w:id="57" w:name="heading_12"/>
    </w:p>
    <w:p w14:paraId="7B917454">
      <w:pPr>
        <w:bidi w:val="0"/>
        <w:jc w:val="center"/>
        <w:rPr>
          <w:rFonts w:hint="eastAsia" w:ascii="宋体" w:hAnsi="宋体" w:eastAsia="宋体" w:cs="宋体"/>
          <w:sz w:val="24"/>
          <w:szCs w:val="24"/>
        </w:rPr>
      </w:pPr>
      <w:r>
        <w:rPr>
          <w:rFonts w:hint="eastAsia" w:ascii="宋体" w:hAnsi="宋体" w:eastAsia="宋体" w:cs="宋体"/>
          <w:sz w:val="24"/>
          <w:szCs w:val="24"/>
        </w:rPr>
        <w:t xml:space="preserve">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供应链管理（20分）</w:t>
      </w:r>
      <w:bookmarkEnd w:id="57"/>
    </w:p>
    <w:p w14:paraId="19776C56">
      <w:pPr>
        <w:bidi w:val="0"/>
        <w:rPr>
          <w:rFonts w:hint="eastAsia" w:ascii="宋体" w:hAnsi="宋体" w:eastAsia="宋体" w:cs="宋体"/>
          <w:sz w:val="24"/>
          <w:szCs w:val="24"/>
        </w:rPr>
      </w:pPr>
      <w:bookmarkStart w:id="58" w:name="heading_13"/>
      <w:r>
        <w:rPr>
          <w:rFonts w:hint="eastAsia" w:ascii="宋体" w:hAnsi="宋体" w:eastAsia="宋体" w:cs="宋体"/>
          <w:sz w:val="24"/>
          <w:szCs w:val="24"/>
        </w:rPr>
        <w:t>1. 低碳材料管理（7分）</w:t>
      </w:r>
      <w:bookmarkEnd w:id="58"/>
    </w:p>
    <w:p w14:paraId="420ED74E">
      <w:pPr>
        <w:numPr>
          <w:ilvl w:val="0"/>
          <w:numId w:val="13"/>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低碳建材准入（3分）：主体结构绿色建材认证≥60%，附碳标签/碳足迹报告，达标得3分，比例每低10%扣0.5分；</w:t>
      </w:r>
    </w:p>
    <w:p w14:paraId="2F8B32EA">
      <w:pPr>
        <w:numPr>
          <w:ilvl w:val="0"/>
          <w:numId w:val="13"/>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本地采购（4分）：50km内大宗建材采购≥80%，达标得4分，比例每低10%扣1分。</w:t>
      </w:r>
    </w:p>
    <w:p w14:paraId="68D17EA6">
      <w:pPr>
        <w:bidi w:val="0"/>
        <w:rPr>
          <w:rFonts w:hint="eastAsia" w:ascii="宋体" w:hAnsi="宋体" w:eastAsia="宋体" w:cs="宋体"/>
          <w:sz w:val="24"/>
          <w:szCs w:val="24"/>
        </w:rPr>
      </w:pPr>
      <w:bookmarkStart w:id="59" w:name="heading_14"/>
      <w:r>
        <w:rPr>
          <w:rFonts w:hint="eastAsia" w:ascii="宋体" w:hAnsi="宋体" w:eastAsia="宋体" w:cs="宋体"/>
          <w:sz w:val="24"/>
          <w:szCs w:val="24"/>
        </w:rPr>
        <w:t>2. 低碳供应商管理（5分）</w:t>
      </w:r>
      <w:bookmarkEnd w:id="59"/>
    </w:p>
    <w:p w14:paraId="249FDF1A">
      <w:pPr>
        <w:numPr>
          <w:ilvl w:val="0"/>
          <w:numId w:val="14"/>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供应商准入（2分）：建立低碳准入清单，核心供应商碳排放降10%以上，达标得2分，缺清单扣1分；</w:t>
      </w:r>
    </w:p>
    <w:p w14:paraId="176419C8">
      <w:pPr>
        <w:numPr>
          <w:ilvl w:val="0"/>
          <w:numId w:val="14"/>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绩效评估（3分）：每季度开展低碳评估，合同含低碳条款，达标得3分，缺评估扣2分，缺条款扣1分。</w:t>
      </w:r>
    </w:p>
    <w:p w14:paraId="03C39C0B">
      <w:pPr>
        <w:bidi w:val="0"/>
        <w:rPr>
          <w:rFonts w:hint="eastAsia" w:ascii="宋体" w:hAnsi="宋体" w:eastAsia="宋体" w:cs="宋体"/>
          <w:sz w:val="24"/>
          <w:szCs w:val="24"/>
        </w:rPr>
      </w:pPr>
      <w:bookmarkStart w:id="60" w:name="heading_15"/>
      <w:r>
        <w:rPr>
          <w:rFonts w:hint="eastAsia" w:ascii="宋体" w:hAnsi="宋体" w:eastAsia="宋体" w:cs="宋体"/>
          <w:sz w:val="24"/>
          <w:szCs w:val="24"/>
        </w:rPr>
        <w:t>3. 运输仓储低碳管控（5分）</w:t>
      </w:r>
      <w:bookmarkEnd w:id="60"/>
    </w:p>
    <w:p w14:paraId="7E892B23">
      <w:pPr>
        <w:numPr>
          <w:ilvl w:val="0"/>
          <w:numId w:val="15"/>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新能源运输（3分）：大宗建材新能源运输≥50%，达标得3分，比例每低10%扣0.6分；</w:t>
      </w:r>
    </w:p>
    <w:p w14:paraId="6205AF73">
      <w:pPr>
        <w:numPr>
          <w:ilvl w:val="0"/>
          <w:numId w:val="15"/>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仓储节能（2分）：仓储距施工区≤5km、采用节能设施，达标得2分，未达标扣2分。</w:t>
      </w:r>
    </w:p>
    <w:p w14:paraId="71D8B112">
      <w:pPr>
        <w:bidi w:val="0"/>
        <w:rPr>
          <w:rFonts w:hint="eastAsia" w:ascii="宋体" w:hAnsi="宋体" w:eastAsia="宋体" w:cs="宋体"/>
          <w:sz w:val="24"/>
          <w:szCs w:val="24"/>
        </w:rPr>
      </w:pPr>
      <w:bookmarkStart w:id="61" w:name="heading_16"/>
      <w:r>
        <w:rPr>
          <w:rFonts w:hint="eastAsia" w:ascii="宋体" w:hAnsi="宋体" w:eastAsia="宋体" w:cs="宋体"/>
          <w:sz w:val="24"/>
          <w:szCs w:val="24"/>
        </w:rPr>
        <w:t>4. 供应链台账追溯（3分）</w:t>
      </w:r>
      <w:bookmarkEnd w:id="61"/>
    </w:p>
    <w:p w14:paraId="53E1EAB8">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建材采购、运输、仓储、回收全流程台账完整、可追溯，达标得3分，缺一个环节扣1分。</w:t>
      </w:r>
    </w:p>
    <w:p w14:paraId="04E7079F">
      <w:pPr>
        <w:bidi w:val="0"/>
        <w:jc w:val="center"/>
        <w:rPr>
          <w:rFonts w:hint="eastAsia" w:ascii="宋体" w:hAnsi="宋体" w:eastAsia="宋体" w:cs="宋体"/>
          <w:sz w:val="24"/>
          <w:szCs w:val="24"/>
        </w:rPr>
      </w:pPr>
      <w:bookmarkStart w:id="62" w:name="heading_17"/>
      <w:r>
        <w:rPr>
          <w:rFonts w:hint="eastAsia" w:ascii="宋体" w:hAnsi="宋体" w:eastAsia="宋体" w:cs="宋体"/>
          <w:sz w:val="24"/>
          <w:szCs w:val="24"/>
        </w:rPr>
        <w:t>Ⅳ</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负面扣分项</w:t>
      </w:r>
      <w:bookmarkEnd w:id="62"/>
    </w:p>
    <w:p w14:paraId="44F354BB">
      <w:pPr>
        <w:bidi w:val="0"/>
        <w:jc w:val="center"/>
        <w:rPr>
          <w:rFonts w:hint="eastAsia" w:ascii="宋体" w:hAnsi="宋体" w:eastAsia="宋体" w:cs="宋体"/>
          <w:sz w:val="24"/>
          <w:szCs w:val="24"/>
        </w:rPr>
      </w:pPr>
    </w:p>
    <w:p w14:paraId="4B1D97EC">
      <w:pPr>
        <w:bidi w:val="0"/>
        <w:rPr>
          <w:rFonts w:hint="eastAsia" w:ascii="宋体" w:hAnsi="宋体" w:eastAsia="宋体" w:cs="宋体"/>
          <w:sz w:val="24"/>
          <w:szCs w:val="24"/>
        </w:rPr>
      </w:pPr>
      <w:bookmarkStart w:id="63" w:name="heading_18"/>
      <w:r>
        <w:rPr>
          <w:rFonts w:hint="eastAsia" w:ascii="宋体" w:hAnsi="宋体" w:eastAsia="宋体" w:cs="宋体"/>
          <w:sz w:val="24"/>
          <w:szCs w:val="24"/>
        </w:rPr>
        <w:t>1. 一票否决项（直接判定评估不达标）</w:t>
      </w:r>
      <w:bookmarkEnd w:id="63"/>
    </w:p>
    <w:p w14:paraId="3B2CB887">
      <w:pPr>
        <w:numPr>
          <w:ilvl w:val="0"/>
          <w:numId w:val="16"/>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碳排放数据造假、台账弄虚作假；</w:t>
      </w:r>
    </w:p>
    <w:p w14:paraId="062CF7FF">
      <w:pPr>
        <w:numPr>
          <w:ilvl w:val="0"/>
          <w:numId w:val="16"/>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使用国家明令淘汰的高碳建材、施工工艺、高耗能设备；</w:t>
      </w:r>
    </w:p>
    <w:p w14:paraId="185EE038">
      <w:pPr>
        <w:numPr>
          <w:ilvl w:val="0"/>
          <w:numId w:val="16"/>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碳排放核算误差超10%且未完成整改；</w:t>
      </w:r>
    </w:p>
    <w:p w14:paraId="1ABFC62E">
      <w:pPr>
        <w:numPr>
          <w:ilvl w:val="0"/>
          <w:numId w:val="16"/>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建筑垃圾随意丢弃、造成重大环境影响。</w:t>
      </w:r>
    </w:p>
    <w:p w14:paraId="4875BA30">
      <w:pPr>
        <w:numPr>
          <w:ilvl w:val="0"/>
          <w:numId w:val="16"/>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碳信用未经核证、碳抵消比例超 10%、以碳抵消替代强制性减排措施。</w:t>
      </w:r>
    </w:p>
    <w:p w14:paraId="1CCFC497">
      <w:pPr>
        <w:numPr>
          <w:ilvl w:val="0"/>
          <w:numId w:val="16"/>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施工过程中发生</w:t>
      </w:r>
      <w:r>
        <w:rPr>
          <w:rFonts w:ascii="宋体" w:hAnsi="宋体" w:eastAsia="宋体" w:cs="宋体"/>
          <w:sz w:val="24"/>
          <w:szCs w:val="24"/>
        </w:rPr>
        <w:t>一般及以上安全事故</w:t>
      </w:r>
      <w:r>
        <w:rPr>
          <w:rFonts w:hint="eastAsia" w:ascii="宋体" w:hAnsi="宋体" w:eastAsia="宋体" w:cs="宋体"/>
          <w:sz w:val="24"/>
          <w:szCs w:val="24"/>
          <w:lang w:eastAsia="zh-CN"/>
        </w:rPr>
        <w:t>。</w:t>
      </w:r>
    </w:p>
    <w:p w14:paraId="5341D0C8">
      <w:pPr>
        <w:bidi w:val="0"/>
        <w:rPr>
          <w:rFonts w:hint="eastAsia" w:ascii="宋体" w:hAnsi="宋体" w:eastAsia="宋体" w:cs="宋体"/>
          <w:sz w:val="24"/>
          <w:szCs w:val="24"/>
        </w:rPr>
      </w:pPr>
      <w:bookmarkStart w:id="64" w:name="heading_19"/>
      <w:r>
        <w:rPr>
          <w:rFonts w:hint="eastAsia" w:ascii="宋体" w:hAnsi="宋体" w:eastAsia="宋体" w:cs="宋体"/>
          <w:sz w:val="24"/>
          <w:szCs w:val="24"/>
        </w:rPr>
        <w:t>2. 常规扣分项（直接抵扣总分）</w:t>
      </w:r>
      <w:bookmarkEnd w:id="64"/>
    </w:p>
    <w:p w14:paraId="123F1BA8">
      <w:pPr>
        <w:numPr>
          <w:ilvl w:val="0"/>
          <w:numId w:val="17"/>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非应急情况下使用柴油发电机，每次扣5分；</w:t>
      </w:r>
    </w:p>
    <w:p w14:paraId="1137785C">
      <w:pPr>
        <w:numPr>
          <w:ilvl w:val="0"/>
          <w:numId w:val="17"/>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施工废弃物未分类收集、资源化利用率不达标，每次扣3分；</w:t>
      </w:r>
    </w:p>
    <w:p w14:paraId="534E9A04">
      <w:pPr>
        <w:numPr>
          <w:ilvl w:val="0"/>
          <w:numId w:val="17"/>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供应商未按约定提供低碳建材、碳数据造假，每次扣4分；</w:t>
      </w:r>
    </w:p>
    <w:p w14:paraId="4D5EF547">
      <w:pPr>
        <w:numPr>
          <w:ilvl w:val="0"/>
          <w:numId w:val="17"/>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临时设施、周转材料未按要求周转回收，每次扣2分。</w:t>
      </w:r>
    </w:p>
    <w:p w14:paraId="03D89B69">
      <w:pPr>
        <w:bidi w:val="0"/>
        <w:spacing w:line="281" w:lineRule="auto"/>
        <w:rPr>
          <w:rFonts w:hint="default" w:ascii="Times New Roman" w:hAnsi="Times New Roman" w:eastAsia="宋体" w:cs="Times New Roman"/>
          <w:b/>
          <w:bCs/>
          <w:sz w:val="24"/>
          <w:szCs w:val="24"/>
          <w:lang w:eastAsia="zh-CN"/>
        </w:rPr>
      </w:pPr>
    </w:p>
    <w:p w14:paraId="0F7DC869">
      <w:pPr>
        <w:bidi w:val="0"/>
        <w:spacing w:line="281" w:lineRule="auto"/>
        <w:rPr>
          <w:rFonts w:hint="eastAsia" w:ascii="宋体" w:hAnsi="宋体" w:eastAsia="宋体" w:cs="宋体"/>
          <w:sz w:val="24"/>
          <w:szCs w:val="24"/>
          <w:lang w:val="en-US" w:eastAsia="zh-CN"/>
        </w:rPr>
      </w:pPr>
    </w:p>
    <w:p w14:paraId="515E177A">
      <w:pPr>
        <w:spacing w:before="92" w:line="222" w:lineRule="auto"/>
        <w:ind w:left="3178"/>
        <w:outlineLvl w:val="1"/>
        <w:rPr>
          <w:rFonts w:hint="default" w:ascii="黑体" w:hAnsi="黑体" w:eastAsia="黑体" w:cs="黑体"/>
          <w:b/>
          <w:bCs/>
          <w:spacing w:val="-5"/>
          <w:sz w:val="28"/>
          <w:szCs w:val="28"/>
        </w:rPr>
      </w:pPr>
      <w:bookmarkStart w:id="65" w:name="_Toc27696"/>
      <w:r>
        <w:rPr>
          <w:rFonts w:hint="eastAsia" w:ascii="黑体" w:hAnsi="黑体" w:eastAsia="黑体" w:cs="黑体"/>
          <w:b/>
          <w:bCs/>
          <w:spacing w:val="-5"/>
          <w:sz w:val="24"/>
          <w:szCs w:val="24"/>
          <w:lang w:val="en-US" w:eastAsia="zh-CN"/>
        </w:rPr>
        <w:t>7.</w:t>
      </w:r>
      <w:r>
        <w:rPr>
          <w:rFonts w:hint="default" w:ascii="黑体" w:hAnsi="黑体" w:eastAsia="黑体" w:cs="黑体"/>
          <w:b/>
          <w:bCs/>
          <w:spacing w:val="-5"/>
          <w:sz w:val="24"/>
          <w:szCs w:val="24"/>
          <w:lang w:eastAsia="zh-CN"/>
        </w:rPr>
        <w:t>5</w:t>
      </w:r>
      <w:r>
        <w:rPr>
          <w:rFonts w:ascii="黑体" w:hAnsi="黑体" w:eastAsia="黑体" w:cs="黑体"/>
          <w:spacing w:val="113"/>
          <w:sz w:val="24"/>
          <w:szCs w:val="24"/>
        </w:rPr>
        <w:t xml:space="preserve"> </w:t>
      </w:r>
      <w:r>
        <w:rPr>
          <w:rFonts w:hint="eastAsia" w:ascii="黑体" w:hAnsi="黑体" w:eastAsia="黑体" w:cs="黑体"/>
          <w:b/>
          <w:bCs/>
          <w:spacing w:val="-5"/>
          <w:sz w:val="28"/>
          <w:szCs w:val="28"/>
        </w:rPr>
        <w:t>评估</w:t>
      </w:r>
      <w:r>
        <w:rPr>
          <w:rFonts w:hint="default" w:ascii="黑体" w:hAnsi="黑体" w:eastAsia="黑体" w:cs="黑体"/>
          <w:b/>
          <w:bCs/>
          <w:spacing w:val="-5"/>
          <w:sz w:val="28"/>
          <w:szCs w:val="28"/>
        </w:rPr>
        <w:t>等级划分</w:t>
      </w:r>
      <w:bookmarkEnd w:id="65"/>
    </w:p>
    <w:p w14:paraId="747C1E5A">
      <w:pPr>
        <w:bidi w:val="0"/>
        <w:rPr>
          <w:rFonts w:hint="default"/>
        </w:rPr>
      </w:pPr>
    </w:p>
    <w:p w14:paraId="14483E8A">
      <w:pPr>
        <w:pStyle w:val="14"/>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rPr>
          <w:rFonts w:hint="eastAsia" w:ascii="Times New Roman" w:hAnsi="Times New Roman" w:eastAsia="宋体" w:cs="宋体"/>
          <w:snapToGrid/>
          <w:color w:val="000000"/>
          <w:kern w:val="0"/>
          <w:sz w:val="24"/>
          <w:szCs w:val="21"/>
          <w:lang w:val="en-US" w:eastAsia="zh-CN" w:bidi="ar"/>
        </w:rPr>
      </w:pPr>
      <w:r>
        <w:rPr>
          <w:rFonts w:hint="default" w:ascii="Times New Roman" w:hAnsi="Times New Roman" w:eastAsia="宋体" w:cs="Arial"/>
          <w:b/>
          <w:bCs/>
          <w:snapToGrid/>
          <w:color w:val="000000"/>
          <w:kern w:val="0"/>
          <w:sz w:val="24"/>
          <w:szCs w:val="21"/>
          <w:lang w:eastAsia="zh-CN" w:bidi="ar"/>
        </w:rPr>
        <w:t>7.5</w:t>
      </w:r>
      <w:r>
        <w:rPr>
          <w:rFonts w:hint="default" w:ascii="Times New Roman" w:hAnsi="Times New Roman" w:eastAsia="宋体" w:cs="Arial"/>
          <w:b/>
          <w:bCs/>
          <w:snapToGrid/>
          <w:color w:val="000000"/>
          <w:kern w:val="0"/>
          <w:sz w:val="24"/>
          <w:szCs w:val="21"/>
          <w:lang w:val="en-US" w:eastAsia="zh-CN" w:bidi="ar"/>
        </w:rPr>
        <w:t>.1</w:t>
      </w:r>
      <w:r>
        <w:rPr>
          <w:rFonts w:hint="default" w:ascii="Times New Roman" w:hAnsi="Times New Roman" w:eastAsia="宋体" w:cs="Arial"/>
          <w:b/>
          <w:bCs/>
          <w:snapToGrid/>
          <w:color w:val="000000"/>
          <w:kern w:val="0"/>
          <w:sz w:val="24"/>
          <w:szCs w:val="21"/>
          <w:lang w:eastAsia="zh-CN" w:bidi="ar"/>
        </w:rPr>
        <w:t xml:space="preserve">    </w:t>
      </w:r>
      <w:r>
        <w:rPr>
          <w:rFonts w:hint="eastAsia" w:ascii="Times New Roman" w:hAnsi="Times New Roman" w:eastAsia="宋体" w:cs="宋体"/>
          <w:snapToGrid/>
          <w:color w:val="000000"/>
          <w:kern w:val="0"/>
          <w:sz w:val="24"/>
          <w:szCs w:val="21"/>
          <w:lang w:val="en-US" w:eastAsia="zh-CN" w:bidi="ar"/>
        </w:rPr>
        <w:t>结合施工阶段总碳排放、碳减排率、评估指标总分，判定低碳建筑等级，明确各级别要求。</w:t>
      </w:r>
    </w:p>
    <w:p w14:paraId="49258145">
      <w:pPr>
        <w:pStyle w:val="14"/>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rPr>
          <w:rFonts w:hint="eastAsia" w:ascii="Times New Roman" w:hAnsi="Times New Roman" w:eastAsia="宋体" w:cs="宋体"/>
          <w:snapToGrid/>
          <w:color w:val="000000"/>
          <w:kern w:val="0"/>
          <w:sz w:val="24"/>
          <w:szCs w:val="21"/>
          <w:lang w:val="en-US" w:eastAsia="zh-CN" w:bidi="ar"/>
        </w:rPr>
      </w:pPr>
      <w:r>
        <w:rPr>
          <w:rFonts w:hint="default" w:ascii="Times New Roman" w:hAnsi="Times New Roman" w:eastAsia="宋体" w:cs="Arial"/>
          <w:b/>
          <w:bCs/>
          <w:snapToGrid/>
          <w:color w:val="000000"/>
          <w:kern w:val="0"/>
          <w:sz w:val="24"/>
          <w:szCs w:val="21"/>
          <w:lang w:eastAsia="zh-CN" w:bidi="ar"/>
        </w:rPr>
        <w:t>7.5</w:t>
      </w:r>
      <w:r>
        <w:rPr>
          <w:rFonts w:hint="default" w:ascii="Times New Roman" w:hAnsi="Times New Roman" w:eastAsia="宋体" w:cs="Arial"/>
          <w:b/>
          <w:bCs/>
          <w:snapToGrid/>
          <w:color w:val="000000"/>
          <w:kern w:val="0"/>
          <w:sz w:val="24"/>
          <w:szCs w:val="21"/>
          <w:lang w:val="en-US" w:eastAsia="zh-CN" w:bidi="ar"/>
        </w:rPr>
        <w:t>.</w:t>
      </w:r>
      <w:r>
        <w:rPr>
          <w:rFonts w:hint="default" w:ascii="Times New Roman" w:hAnsi="Times New Roman" w:eastAsia="宋体" w:cs="Arial"/>
          <w:b/>
          <w:bCs/>
          <w:snapToGrid/>
          <w:color w:val="000000"/>
          <w:kern w:val="0"/>
          <w:sz w:val="24"/>
          <w:szCs w:val="21"/>
          <w:lang w:eastAsia="zh-CN" w:bidi="ar"/>
        </w:rPr>
        <w:t>2</w:t>
      </w:r>
      <w:r>
        <w:rPr>
          <w:rFonts w:hint="default" w:ascii="Times New Roman" w:hAnsi="Times New Roman" w:eastAsia="宋体" w:cs="Arial"/>
          <w:snapToGrid/>
          <w:color w:val="000000"/>
          <w:kern w:val="0"/>
          <w:sz w:val="24"/>
          <w:szCs w:val="21"/>
          <w:lang w:val="en-US" w:eastAsia="zh-CN" w:bidi="ar"/>
        </w:rPr>
        <w:tab/>
      </w:r>
      <w:r>
        <w:rPr>
          <w:rFonts w:hint="default" w:ascii="Times New Roman" w:hAnsi="Times New Roman" w:eastAsia="宋体" w:cs="Arial"/>
          <w:snapToGrid/>
          <w:color w:val="000000"/>
          <w:kern w:val="0"/>
          <w:sz w:val="24"/>
          <w:szCs w:val="21"/>
          <w:lang w:eastAsia="zh-CN" w:bidi="ar"/>
        </w:rPr>
        <w:t xml:space="preserve">    </w:t>
      </w:r>
      <w:r>
        <w:rPr>
          <w:rFonts w:hint="eastAsia" w:ascii="Times New Roman" w:hAnsi="Times New Roman" w:eastAsia="宋体" w:cs="宋体"/>
          <w:snapToGrid/>
          <w:color w:val="000000"/>
          <w:kern w:val="0"/>
          <w:sz w:val="24"/>
          <w:szCs w:val="21"/>
          <w:lang w:val="en-US" w:eastAsia="zh-CN" w:bidi="ar"/>
        </w:rPr>
        <w:t>分级判定需同时满足“</w:t>
      </w:r>
      <w:r>
        <w:rPr>
          <w:rFonts w:hint="eastAsia" w:eastAsia="等线" w:cs="等线"/>
          <w:snapToGrid/>
          <w:color w:val="000000"/>
          <w:kern w:val="2"/>
          <w:lang w:val="en-US" w:eastAsia="zh-CN" w:bidi="ar"/>
        </w:rPr>
        <w:t>评分项</w:t>
      </w:r>
      <w:r>
        <w:rPr>
          <w:rFonts w:hint="eastAsia" w:ascii="Arial" w:hAnsi="Arial" w:eastAsia="等线" w:cs="等线"/>
          <w:snapToGrid/>
          <w:color w:val="000000"/>
          <w:kern w:val="2"/>
          <w:lang w:val="en-US" w:eastAsia="zh-CN" w:bidi="ar"/>
        </w:rPr>
        <w:t>总</w:t>
      </w:r>
      <w:r>
        <w:rPr>
          <w:rFonts w:hint="eastAsia" w:eastAsia="等线" w:cs="等线"/>
          <w:snapToGrid/>
          <w:color w:val="000000"/>
          <w:kern w:val="2"/>
          <w:lang w:val="en-US" w:eastAsia="zh-CN" w:bidi="ar"/>
        </w:rPr>
        <w:t>得</w:t>
      </w:r>
      <w:r>
        <w:rPr>
          <w:rFonts w:hint="eastAsia" w:ascii="Arial" w:hAnsi="Arial" w:eastAsia="等线" w:cs="等线"/>
          <w:snapToGrid/>
          <w:color w:val="000000"/>
          <w:kern w:val="2"/>
          <w:lang w:val="en-US" w:eastAsia="zh-CN" w:bidi="ar"/>
        </w:rPr>
        <w:t>分</w:t>
      </w:r>
      <w:r>
        <w:rPr>
          <w:rFonts w:hint="eastAsia" w:ascii="Times New Roman" w:hAnsi="Times New Roman" w:eastAsia="宋体" w:cs="宋体"/>
          <w:snapToGrid/>
          <w:color w:val="000000"/>
          <w:kern w:val="0"/>
          <w:sz w:val="24"/>
          <w:szCs w:val="21"/>
          <w:lang w:val="en-US" w:eastAsia="zh-CN" w:bidi="ar"/>
        </w:rPr>
        <w:t>要求”和 “</w:t>
      </w:r>
      <w:r>
        <w:rPr>
          <w:rFonts w:hint="eastAsia" w:eastAsia="等线" w:cs="等线"/>
          <w:snapToGrid/>
          <w:color w:val="000000"/>
          <w:kern w:val="2"/>
          <w:lang w:val="en-US" w:eastAsia="zh-CN" w:bidi="ar"/>
        </w:rPr>
        <w:t>施工碳排放</w:t>
      </w:r>
      <w:r>
        <w:rPr>
          <w:rFonts w:hint="eastAsia" w:ascii="Times New Roman" w:hAnsi="Times New Roman" w:eastAsia="宋体" w:cs="宋体"/>
          <w:snapToGrid/>
          <w:color w:val="000000"/>
          <w:kern w:val="0"/>
          <w:sz w:val="24"/>
          <w:szCs w:val="21"/>
          <w:lang w:val="en-US" w:eastAsia="zh-CN" w:bidi="ar"/>
        </w:rPr>
        <w:t>要求”</w:t>
      </w:r>
      <w:r>
        <w:rPr>
          <w:rFonts w:hint="eastAsia" w:ascii="宋体" w:hAnsi="宋体" w:eastAsia="宋体" w:cs="宋体"/>
          <w:snapToGrid w:val="0"/>
          <w:color w:val="000000"/>
          <w:kern w:val="0"/>
          <w:sz w:val="24"/>
          <w:szCs w:val="24"/>
          <w:lang w:val="en-US" w:eastAsia="zh-CN" w:bidi="ar-SA"/>
        </w:rPr>
        <w:t>见表 7.5.1</w:t>
      </w:r>
      <w:r>
        <w:rPr>
          <w:rFonts w:hint="eastAsia" w:ascii="Times New Roman" w:hAnsi="Times New Roman" w:eastAsia="宋体" w:cs="宋体"/>
          <w:snapToGrid/>
          <w:color w:val="000000"/>
          <w:kern w:val="0"/>
          <w:sz w:val="24"/>
          <w:szCs w:val="21"/>
          <w:lang w:val="en-US" w:eastAsia="zh-CN" w:bidi="ar"/>
        </w:rPr>
        <w:t>。碳排放控制为硬性指标，不达标不得判定对应等级。</w:t>
      </w:r>
    </w:p>
    <w:p w14:paraId="06D39146">
      <w:pPr>
        <w:pStyle w:val="14"/>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rPr>
          <w:snapToGrid/>
          <w:lang w:val="en-US" w:eastAsia="zh-CN"/>
        </w:rPr>
      </w:pPr>
      <w:r>
        <w:rPr>
          <w:rFonts w:hint="default" w:ascii="Times New Roman" w:hAnsi="Times New Roman" w:eastAsia="宋体" w:cs="Arial"/>
          <w:b/>
          <w:bCs/>
          <w:snapToGrid/>
          <w:color w:val="000000"/>
          <w:kern w:val="0"/>
          <w:sz w:val="24"/>
          <w:szCs w:val="21"/>
          <w:lang w:eastAsia="zh-CN" w:bidi="ar"/>
        </w:rPr>
        <w:t>7.5</w:t>
      </w:r>
      <w:r>
        <w:rPr>
          <w:rFonts w:hint="default" w:ascii="Times New Roman" w:hAnsi="Times New Roman" w:eastAsia="宋体" w:cs="Arial"/>
          <w:b/>
          <w:bCs/>
          <w:snapToGrid/>
          <w:color w:val="000000"/>
          <w:kern w:val="0"/>
          <w:sz w:val="24"/>
          <w:szCs w:val="21"/>
          <w:lang w:val="en-US" w:eastAsia="zh-CN" w:bidi="ar"/>
        </w:rPr>
        <w:t>.</w:t>
      </w:r>
      <w:r>
        <w:rPr>
          <w:rFonts w:hint="eastAsia" w:ascii="Times New Roman" w:hAnsi="Times New Roman" w:eastAsia="宋体" w:cs="Arial"/>
          <w:b/>
          <w:bCs/>
          <w:snapToGrid/>
          <w:color w:val="000000"/>
          <w:kern w:val="0"/>
          <w:sz w:val="24"/>
          <w:szCs w:val="21"/>
          <w:lang w:val="en-US" w:eastAsia="zh-CN" w:bidi="ar"/>
        </w:rPr>
        <w:t>3</w:t>
      </w:r>
      <w:r>
        <w:rPr>
          <w:rFonts w:hint="default" w:ascii="Times New Roman" w:hAnsi="Times New Roman" w:eastAsia="宋体" w:cs="Arial"/>
          <w:b/>
          <w:bCs/>
          <w:snapToGrid/>
          <w:color w:val="000000"/>
          <w:kern w:val="0"/>
          <w:sz w:val="24"/>
          <w:szCs w:val="21"/>
          <w:lang w:val="en-US" w:eastAsia="zh-CN" w:bidi="ar"/>
        </w:rPr>
        <w:tab/>
      </w:r>
      <w:r>
        <w:rPr>
          <w:rFonts w:hint="default" w:ascii="Times New Roman" w:hAnsi="Times New Roman" w:eastAsia="宋体" w:cs="Arial"/>
          <w:b/>
          <w:bCs/>
          <w:snapToGrid/>
          <w:color w:val="000000"/>
          <w:kern w:val="0"/>
          <w:sz w:val="24"/>
          <w:szCs w:val="21"/>
          <w:lang w:eastAsia="zh-CN" w:bidi="ar"/>
        </w:rPr>
        <w:t xml:space="preserve"> </w:t>
      </w:r>
      <w:r>
        <w:rPr>
          <w:rFonts w:hint="default" w:ascii="Times New Roman" w:hAnsi="Times New Roman" w:eastAsia="宋体" w:cs="Arial"/>
          <w:snapToGrid/>
          <w:color w:val="000000"/>
          <w:kern w:val="0"/>
          <w:sz w:val="24"/>
          <w:szCs w:val="21"/>
          <w:lang w:eastAsia="zh-CN" w:bidi="ar"/>
        </w:rPr>
        <w:t xml:space="preserve">   </w:t>
      </w:r>
      <w:r>
        <w:rPr>
          <w:rFonts w:hint="eastAsia" w:ascii="Times New Roman" w:hAnsi="Times New Roman" w:eastAsia="宋体" w:cs="宋体"/>
          <w:snapToGrid/>
          <w:color w:val="000000"/>
          <w:kern w:val="0"/>
          <w:sz w:val="24"/>
          <w:szCs w:val="21"/>
          <w:lang w:val="en-US" w:eastAsia="zh-CN" w:bidi="ar"/>
        </w:rPr>
        <w:t>不达标或未达到目标等级的项目，</w:t>
      </w:r>
      <w:r>
        <w:rPr>
          <w:rFonts w:hint="default" w:ascii="Times New Roman" w:hAnsi="Times New Roman" w:eastAsia="宋体" w:cs="宋体"/>
          <w:snapToGrid/>
          <w:color w:val="000000"/>
          <w:kern w:val="0"/>
          <w:sz w:val="24"/>
          <w:szCs w:val="21"/>
          <w:lang w:eastAsia="zh-CN" w:bidi="ar"/>
        </w:rPr>
        <w:t>应</w:t>
      </w:r>
      <w:r>
        <w:rPr>
          <w:rFonts w:hint="eastAsia" w:ascii="Times New Roman" w:hAnsi="Times New Roman" w:eastAsia="宋体" w:cs="宋体"/>
          <w:snapToGrid/>
          <w:color w:val="000000"/>
          <w:kern w:val="0"/>
          <w:sz w:val="24"/>
          <w:szCs w:val="21"/>
          <w:lang w:val="en-US" w:eastAsia="zh-CN" w:bidi="ar"/>
        </w:rPr>
        <w:t>按评估意见完成整改，整改后可重新开展评估。</w:t>
      </w:r>
    </w:p>
    <w:p w14:paraId="295CAD3E">
      <w:pPr>
        <w:pStyle w:val="14"/>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rPr>
          <w:rFonts w:hint="eastAsia" w:ascii="Times New Roman" w:hAnsi="Times New Roman" w:eastAsia="宋体" w:cs="宋体"/>
          <w:snapToGrid/>
          <w:color w:val="000000"/>
          <w:kern w:val="0"/>
          <w:sz w:val="24"/>
          <w:szCs w:val="21"/>
          <w:lang w:val="en-US" w:eastAsia="zh-CN" w:bidi="ar"/>
        </w:rPr>
      </w:pPr>
      <w:r>
        <w:rPr>
          <w:rFonts w:hint="default" w:ascii="Times New Roman" w:hAnsi="Times New Roman" w:eastAsia="宋体" w:cs="Arial"/>
          <w:b/>
          <w:bCs/>
          <w:snapToGrid/>
          <w:color w:val="000000"/>
          <w:kern w:val="0"/>
          <w:sz w:val="24"/>
          <w:szCs w:val="21"/>
          <w:lang w:eastAsia="zh-CN" w:bidi="ar"/>
        </w:rPr>
        <w:t>7.5</w:t>
      </w:r>
      <w:r>
        <w:rPr>
          <w:rFonts w:hint="default" w:ascii="Times New Roman" w:hAnsi="Times New Roman" w:eastAsia="宋体" w:cs="Arial"/>
          <w:b/>
          <w:bCs/>
          <w:snapToGrid/>
          <w:color w:val="000000"/>
          <w:kern w:val="0"/>
          <w:sz w:val="24"/>
          <w:szCs w:val="21"/>
          <w:lang w:val="en-US" w:eastAsia="zh-CN" w:bidi="ar"/>
        </w:rPr>
        <w:t>.</w:t>
      </w:r>
      <w:r>
        <w:rPr>
          <w:rFonts w:hint="eastAsia" w:ascii="Times New Roman" w:hAnsi="Times New Roman" w:eastAsia="宋体" w:cs="Arial"/>
          <w:b/>
          <w:bCs/>
          <w:snapToGrid/>
          <w:color w:val="000000"/>
          <w:kern w:val="0"/>
          <w:sz w:val="24"/>
          <w:szCs w:val="21"/>
          <w:lang w:val="en-US" w:eastAsia="zh-CN" w:bidi="ar"/>
        </w:rPr>
        <w:t>5</w:t>
      </w:r>
      <w:r>
        <w:rPr>
          <w:rFonts w:hint="default" w:ascii="Times New Roman" w:hAnsi="Times New Roman" w:eastAsia="宋体" w:cs="Arial"/>
          <w:snapToGrid/>
          <w:color w:val="000000"/>
          <w:kern w:val="0"/>
          <w:sz w:val="24"/>
          <w:szCs w:val="21"/>
          <w:lang w:val="en-US" w:eastAsia="zh-CN" w:bidi="ar"/>
        </w:rPr>
        <w:tab/>
      </w:r>
      <w:r>
        <w:rPr>
          <w:rFonts w:hint="default" w:ascii="Times New Roman" w:hAnsi="Times New Roman" w:eastAsia="宋体" w:cs="Arial"/>
          <w:snapToGrid/>
          <w:color w:val="000000"/>
          <w:kern w:val="0"/>
          <w:sz w:val="24"/>
          <w:szCs w:val="21"/>
          <w:lang w:eastAsia="zh-CN" w:bidi="ar"/>
        </w:rPr>
        <w:t xml:space="preserve">    </w:t>
      </w:r>
      <w:r>
        <w:rPr>
          <w:rFonts w:hint="eastAsia" w:ascii="Times New Roman" w:hAnsi="Times New Roman" w:eastAsia="宋体" w:cs="宋体"/>
          <w:snapToGrid/>
          <w:color w:val="000000"/>
          <w:kern w:val="0"/>
          <w:sz w:val="24"/>
          <w:szCs w:val="21"/>
          <w:lang w:val="en-US" w:eastAsia="zh-CN" w:bidi="ar"/>
        </w:rPr>
        <w:t>分级结果仅适用于项目施工阶段，建筑运行、拆除阶段的低碳等级需另行评估。</w:t>
      </w:r>
    </w:p>
    <w:p w14:paraId="1A2AC63A">
      <w:pPr>
        <w:pStyle w:val="14"/>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center"/>
        <w:rPr>
          <w:snapToGrid/>
          <w:lang w:val="en-US" w:eastAsia="zh-CN"/>
        </w:rPr>
      </w:pPr>
      <w:r>
        <w:rPr>
          <w:rFonts w:hint="default" w:ascii="Times New Roman" w:hAnsi="Times New Roman" w:eastAsia="宋体" w:cs="宋体"/>
          <w:snapToGrid/>
          <w:color w:val="000000"/>
          <w:kern w:val="0"/>
          <w:sz w:val="24"/>
          <w:szCs w:val="21"/>
          <w:lang w:eastAsia="zh-CN" w:bidi="ar"/>
        </w:rPr>
        <w:t>表</w:t>
      </w:r>
      <w:r>
        <w:rPr>
          <w:rFonts w:hint="eastAsia" w:ascii="宋体" w:hAnsi="宋体" w:eastAsia="宋体" w:cs="宋体"/>
          <w:snapToGrid w:val="0"/>
          <w:color w:val="000000"/>
          <w:kern w:val="0"/>
          <w:sz w:val="24"/>
          <w:szCs w:val="24"/>
          <w:lang w:val="en-US" w:eastAsia="zh-CN" w:bidi="ar-SA"/>
        </w:rPr>
        <w:t>7.5.1</w:t>
      </w:r>
      <w:r>
        <w:rPr>
          <w:rFonts w:hint="default" w:ascii="Times New Roman" w:hAnsi="Times New Roman" w:eastAsia="宋体" w:cs="宋体"/>
          <w:snapToGrid/>
          <w:color w:val="000000"/>
          <w:kern w:val="0"/>
          <w:sz w:val="24"/>
          <w:szCs w:val="21"/>
          <w:lang w:eastAsia="zh-CN" w:bidi="ar"/>
        </w:rPr>
        <w:t xml:space="preserve"> 低碳建筑施工评价等级判定</w:t>
      </w:r>
      <w:r>
        <w:rPr>
          <w:rFonts w:hint="eastAsia" w:ascii="Times New Roman" w:hAnsi="Times New Roman" w:eastAsia="宋体" w:cs="宋体"/>
          <w:snapToGrid/>
          <w:color w:val="000000"/>
          <w:kern w:val="0"/>
          <w:sz w:val="24"/>
          <w:szCs w:val="21"/>
          <w:lang w:val="en-US" w:eastAsia="zh-CN" w:bidi="ar"/>
        </w:rPr>
        <w:t>标准</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1230"/>
        <w:gridCol w:w="1512"/>
        <w:gridCol w:w="1800"/>
        <w:gridCol w:w="2522"/>
      </w:tblGrid>
      <w:tr w14:paraId="4504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1230" w:type="dxa"/>
            <w:shd w:val="clear" w:color="auto" w:fill="auto"/>
            <w:tcMar>
              <w:top w:w="60" w:type="dxa"/>
              <w:left w:w="120" w:type="dxa"/>
              <w:bottom w:w="30" w:type="dxa"/>
              <w:right w:w="120" w:type="dxa"/>
            </w:tcMar>
            <w:vAlign w:val="top"/>
          </w:tcPr>
          <w:p w14:paraId="6A0FC32B">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评估等级</w:t>
            </w:r>
          </w:p>
        </w:tc>
        <w:tc>
          <w:tcPr>
            <w:tcW w:w="1512" w:type="dxa"/>
            <w:shd w:val="clear" w:color="auto" w:fill="auto"/>
            <w:tcMar>
              <w:top w:w="60" w:type="dxa"/>
              <w:left w:w="120" w:type="dxa"/>
              <w:bottom w:w="30" w:type="dxa"/>
              <w:right w:w="120" w:type="dxa"/>
            </w:tcMar>
            <w:vAlign w:val="top"/>
          </w:tcPr>
          <w:p w14:paraId="28C121C1">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对应建筑类型</w:t>
            </w:r>
          </w:p>
        </w:tc>
        <w:tc>
          <w:tcPr>
            <w:tcW w:w="1800" w:type="dxa"/>
            <w:shd w:val="clear" w:color="auto" w:fill="auto"/>
            <w:tcMar>
              <w:top w:w="60" w:type="dxa"/>
              <w:left w:w="120" w:type="dxa"/>
              <w:bottom w:w="30" w:type="dxa"/>
              <w:right w:w="120" w:type="dxa"/>
            </w:tcMar>
            <w:vAlign w:val="top"/>
          </w:tcPr>
          <w:p w14:paraId="6808B799">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eastAsia="等线" w:cs="等线"/>
                <w:snapToGrid/>
                <w:color w:val="000000"/>
                <w:kern w:val="2"/>
                <w:lang w:val="en-US" w:eastAsia="zh-CN" w:bidi="ar"/>
              </w:rPr>
              <w:t>评分项</w:t>
            </w:r>
            <w:r>
              <w:rPr>
                <w:rFonts w:hint="eastAsia" w:ascii="Arial" w:hAnsi="Arial" w:eastAsia="等线" w:cs="等线"/>
                <w:snapToGrid/>
                <w:color w:val="000000"/>
                <w:kern w:val="2"/>
                <w:lang w:val="en-US" w:eastAsia="zh-CN" w:bidi="ar"/>
              </w:rPr>
              <w:t>总</w:t>
            </w:r>
            <w:r>
              <w:rPr>
                <w:rFonts w:hint="eastAsia" w:eastAsia="等线" w:cs="等线"/>
                <w:snapToGrid/>
                <w:color w:val="000000"/>
                <w:kern w:val="2"/>
                <w:lang w:val="en-US" w:eastAsia="zh-CN" w:bidi="ar"/>
              </w:rPr>
              <w:t>得</w:t>
            </w:r>
            <w:r>
              <w:rPr>
                <w:rFonts w:hint="eastAsia" w:ascii="Arial" w:hAnsi="Arial" w:eastAsia="等线" w:cs="等线"/>
                <w:snapToGrid/>
                <w:color w:val="000000"/>
                <w:kern w:val="2"/>
                <w:lang w:val="en-US" w:eastAsia="zh-CN" w:bidi="ar"/>
              </w:rPr>
              <w:t>分</w:t>
            </w:r>
          </w:p>
        </w:tc>
        <w:tc>
          <w:tcPr>
            <w:tcW w:w="2522" w:type="dxa"/>
            <w:shd w:val="clear" w:color="auto" w:fill="auto"/>
            <w:tcMar>
              <w:top w:w="60" w:type="dxa"/>
              <w:left w:w="120" w:type="dxa"/>
              <w:bottom w:w="30" w:type="dxa"/>
              <w:right w:w="120" w:type="dxa"/>
            </w:tcMar>
            <w:vAlign w:val="top"/>
          </w:tcPr>
          <w:p w14:paraId="3F9F18DB">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eastAsia="等线" w:cs="等线"/>
                <w:snapToGrid/>
                <w:color w:val="000000"/>
                <w:kern w:val="2"/>
                <w:lang w:val="en-US" w:eastAsia="zh-CN" w:bidi="ar"/>
              </w:rPr>
              <w:t>施工碳排放</w:t>
            </w:r>
            <w:r>
              <w:rPr>
                <w:rFonts w:hint="default" w:ascii="等线" w:hAnsi="等线" w:eastAsia="等线" w:cs="等线"/>
                <w:i w:val="0"/>
                <w:strike w:val="0"/>
                <w:spacing w:val="0"/>
                <w:u w:val="none"/>
              </w:rPr>
              <w:t>kgCO2e/m</w:t>
            </w:r>
            <w:r>
              <w:rPr>
                <w:rFonts w:hint="default" w:ascii="等线" w:hAnsi="等线" w:eastAsia="等线" w:cs="等线"/>
                <w:i w:val="0"/>
                <w:strike w:val="0"/>
                <w:spacing w:val="0"/>
                <w:u w:val="none"/>
                <w:vertAlign w:val="superscript"/>
              </w:rPr>
              <w:t>2</w:t>
            </w:r>
          </w:p>
        </w:tc>
      </w:tr>
      <w:tr w14:paraId="347B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30" w:type="dxa"/>
            <w:shd w:val="clear" w:color="auto" w:fill="auto"/>
            <w:tcMar>
              <w:top w:w="60" w:type="dxa"/>
              <w:left w:w="120" w:type="dxa"/>
              <w:bottom w:w="30" w:type="dxa"/>
              <w:right w:w="120" w:type="dxa"/>
            </w:tcMar>
            <w:vAlign w:val="top"/>
          </w:tcPr>
          <w:p w14:paraId="1FA02557">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一级</w:t>
            </w:r>
          </w:p>
        </w:tc>
        <w:tc>
          <w:tcPr>
            <w:tcW w:w="1512" w:type="dxa"/>
            <w:shd w:val="clear" w:color="auto" w:fill="auto"/>
            <w:tcMar>
              <w:top w:w="60" w:type="dxa"/>
              <w:left w:w="120" w:type="dxa"/>
              <w:bottom w:w="30" w:type="dxa"/>
              <w:right w:w="120" w:type="dxa"/>
            </w:tcMar>
            <w:vAlign w:val="top"/>
          </w:tcPr>
          <w:p w14:paraId="182C7372">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低碳施工</w:t>
            </w:r>
          </w:p>
        </w:tc>
        <w:tc>
          <w:tcPr>
            <w:tcW w:w="1800" w:type="dxa"/>
            <w:shd w:val="clear" w:color="auto" w:fill="auto"/>
            <w:tcMar>
              <w:top w:w="60" w:type="dxa"/>
              <w:left w:w="120" w:type="dxa"/>
              <w:bottom w:w="30" w:type="dxa"/>
              <w:right w:w="120" w:type="dxa"/>
            </w:tcMar>
            <w:vAlign w:val="top"/>
          </w:tcPr>
          <w:p w14:paraId="4A509D5E">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default" w:ascii="Arial" w:hAnsi="Arial" w:eastAsia="等线" w:cs="Arial"/>
                <w:snapToGrid/>
                <w:color w:val="000000"/>
                <w:kern w:val="2"/>
                <w:lang w:val="en-US" w:eastAsia="zh-CN" w:bidi="ar"/>
              </w:rPr>
              <w:t>70≤</w:t>
            </w:r>
            <w:r>
              <w:rPr>
                <w:rFonts w:hint="eastAsia" w:ascii="Arial" w:hAnsi="Arial" w:eastAsia="等线" w:cs="等线"/>
                <w:snapToGrid/>
                <w:color w:val="000000"/>
                <w:kern w:val="2"/>
                <w:lang w:val="en-US" w:eastAsia="zh-CN" w:bidi="ar"/>
              </w:rPr>
              <w:t>总分＜</w:t>
            </w:r>
            <w:r>
              <w:rPr>
                <w:rFonts w:hint="default" w:ascii="Arial" w:hAnsi="Arial" w:eastAsia="等线" w:cs="Arial"/>
                <w:snapToGrid/>
                <w:color w:val="000000"/>
                <w:kern w:val="2"/>
                <w:lang w:val="en-US" w:eastAsia="zh-CN" w:bidi="ar"/>
              </w:rPr>
              <w:t>8</w:t>
            </w:r>
            <w:r>
              <w:rPr>
                <w:rFonts w:hint="eastAsia" w:eastAsia="等线" w:cs="Arial"/>
                <w:snapToGrid/>
                <w:color w:val="000000"/>
                <w:kern w:val="2"/>
                <w:lang w:val="en-US" w:eastAsia="zh-CN" w:bidi="ar"/>
              </w:rPr>
              <w:t>5</w:t>
            </w:r>
            <w:r>
              <w:rPr>
                <w:rFonts w:hint="eastAsia" w:ascii="Arial" w:hAnsi="Arial" w:eastAsia="等线" w:cs="等线"/>
                <w:snapToGrid/>
                <w:color w:val="000000"/>
                <w:kern w:val="2"/>
                <w:lang w:val="en-US" w:eastAsia="zh-CN" w:bidi="ar"/>
              </w:rPr>
              <w:t>分</w:t>
            </w:r>
          </w:p>
        </w:tc>
        <w:tc>
          <w:tcPr>
            <w:tcW w:w="2522" w:type="dxa"/>
            <w:shd w:val="clear" w:color="auto" w:fill="auto"/>
            <w:tcMar>
              <w:top w:w="60" w:type="dxa"/>
              <w:left w:w="120" w:type="dxa"/>
              <w:bottom w:w="30" w:type="dxa"/>
              <w:right w:w="120" w:type="dxa"/>
            </w:tcMar>
            <w:vAlign w:val="top"/>
          </w:tcPr>
          <w:p w14:paraId="7124F2C6">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5&lt;碳排放强度</w:t>
            </w:r>
            <w:r>
              <w:rPr>
                <w:rFonts w:hint="default" w:ascii="Arial" w:hAnsi="Arial" w:eastAsia="等线" w:cs="Arial"/>
                <w:snapToGrid/>
                <w:color w:val="000000"/>
                <w:kern w:val="2"/>
                <w:lang w:val="en-US" w:eastAsia="zh-CN" w:bidi="ar"/>
              </w:rPr>
              <w:t>≤</w:t>
            </w:r>
            <w:r>
              <w:rPr>
                <w:rFonts w:hint="eastAsia" w:ascii="Arial" w:hAnsi="Arial" w:eastAsia="等线" w:cs="等线"/>
                <w:snapToGrid/>
                <w:color w:val="000000"/>
                <w:kern w:val="2"/>
                <w:lang w:val="en-US" w:eastAsia="zh-CN" w:bidi="ar"/>
              </w:rPr>
              <w:t>16</w:t>
            </w:r>
          </w:p>
        </w:tc>
      </w:tr>
      <w:tr w14:paraId="4701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1230" w:type="dxa"/>
            <w:shd w:val="clear" w:color="auto" w:fill="auto"/>
            <w:tcMar>
              <w:top w:w="60" w:type="dxa"/>
              <w:left w:w="120" w:type="dxa"/>
              <w:bottom w:w="30" w:type="dxa"/>
              <w:right w:w="120" w:type="dxa"/>
            </w:tcMar>
            <w:vAlign w:val="top"/>
          </w:tcPr>
          <w:p w14:paraId="4327ABF1">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eastAsia="等线" w:cs="等线"/>
                <w:snapToGrid/>
                <w:color w:val="000000"/>
                <w:kern w:val="2"/>
                <w:lang w:val="en-US" w:eastAsia="zh-CN" w:bidi="ar"/>
              </w:rPr>
              <w:t>二</w:t>
            </w:r>
            <w:r>
              <w:rPr>
                <w:rFonts w:hint="eastAsia" w:ascii="Arial" w:hAnsi="Arial" w:eastAsia="等线" w:cs="等线"/>
                <w:snapToGrid/>
                <w:color w:val="000000"/>
                <w:kern w:val="2"/>
                <w:lang w:val="en-US" w:eastAsia="zh-CN" w:bidi="ar"/>
              </w:rPr>
              <w:t>级</w:t>
            </w:r>
          </w:p>
        </w:tc>
        <w:tc>
          <w:tcPr>
            <w:tcW w:w="1512" w:type="dxa"/>
            <w:shd w:val="clear" w:color="auto" w:fill="auto"/>
            <w:tcMar>
              <w:top w:w="60" w:type="dxa"/>
              <w:left w:w="120" w:type="dxa"/>
              <w:bottom w:w="30" w:type="dxa"/>
              <w:right w:w="120" w:type="dxa"/>
            </w:tcMar>
            <w:vAlign w:val="top"/>
          </w:tcPr>
          <w:p w14:paraId="082D3C38">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近零碳施工</w:t>
            </w:r>
          </w:p>
        </w:tc>
        <w:tc>
          <w:tcPr>
            <w:tcW w:w="1800" w:type="dxa"/>
            <w:shd w:val="clear" w:color="auto" w:fill="auto"/>
            <w:tcMar>
              <w:top w:w="60" w:type="dxa"/>
              <w:left w:w="120" w:type="dxa"/>
              <w:bottom w:w="30" w:type="dxa"/>
              <w:right w:w="120" w:type="dxa"/>
            </w:tcMar>
            <w:vAlign w:val="top"/>
          </w:tcPr>
          <w:p w14:paraId="0B660B6F">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eastAsia="等线" w:cs="Arial"/>
                <w:snapToGrid/>
                <w:color w:val="000000"/>
                <w:kern w:val="2"/>
                <w:lang w:val="en-US" w:eastAsia="zh-CN" w:bidi="ar"/>
              </w:rPr>
              <w:t>85</w:t>
            </w:r>
            <w:r>
              <w:rPr>
                <w:rFonts w:hint="default" w:ascii="Arial" w:hAnsi="Arial" w:eastAsia="等线" w:cs="Arial"/>
                <w:snapToGrid/>
                <w:color w:val="000000"/>
                <w:kern w:val="2"/>
                <w:lang w:val="en-US" w:eastAsia="zh-CN" w:bidi="ar"/>
              </w:rPr>
              <w:t>≤</w:t>
            </w:r>
            <w:r>
              <w:rPr>
                <w:rFonts w:hint="eastAsia" w:ascii="Arial" w:hAnsi="Arial" w:eastAsia="等线" w:cs="等线"/>
                <w:snapToGrid/>
                <w:color w:val="000000"/>
                <w:kern w:val="2"/>
                <w:lang w:val="en-US" w:eastAsia="zh-CN" w:bidi="ar"/>
              </w:rPr>
              <w:t>总分＜</w:t>
            </w:r>
            <w:r>
              <w:rPr>
                <w:rFonts w:hint="eastAsia" w:eastAsia="等线" w:cs="Arial"/>
                <w:snapToGrid/>
                <w:color w:val="000000"/>
                <w:kern w:val="2"/>
                <w:lang w:val="en-US" w:eastAsia="zh-CN" w:bidi="ar"/>
              </w:rPr>
              <w:t>95</w:t>
            </w:r>
            <w:r>
              <w:rPr>
                <w:rFonts w:hint="eastAsia" w:ascii="Arial" w:hAnsi="Arial" w:eastAsia="等线" w:cs="等线"/>
                <w:snapToGrid/>
                <w:color w:val="000000"/>
                <w:kern w:val="2"/>
                <w:lang w:val="en-US" w:eastAsia="zh-CN" w:bidi="ar"/>
              </w:rPr>
              <w:t>分</w:t>
            </w:r>
          </w:p>
        </w:tc>
        <w:tc>
          <w:tcPr>
            <w:tcW w:w="2522" w:type="dxa"/>
            <w:shd w:val="clear" w:color="auto" w:fill="auto"/>
            <w:tcMar>
              <w:top w:w="60" w:type="dxa"/>
              <w:left w:w="120" w:type="dxa"/>
              <w:bottom w:w="30" w:type="dxa"/>
              <w:right w:w="120" w:type="dxa"/>
            </w:tcMar>
            <w:vAlign w:val="top"/>
          </w:tcPr>
          <w:p w14:paraId="1384C520">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0&lt;碳排放强度</w:t>
            </w:r>
            <w:r>
              <w:rPr>
                <w:rFonts w:hint="default" w:ascii="Arial" w:hAnsi="Arial" w:eastAsia="等线" w:cs="Arial"/>
                <w:snapToGrid/>
                <w:color w:val="000000"/>
                <w:kern w:val="2"/>
                <w:lang w:val="en-US" w:eastAsia="zh-CN" w:bidi="ar"/>
              </w:rPr>
              <w:t>≤5</w:t>
            </w:r>
          </w:p>
        </w:tc>
      </w:tr>
      <w:tr w14:paraId="0D53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1230" w:type="dxa"/>
            <w:shd w:val="clear" w:color="auto" w:fill="auto"/>
            <w:tcMar>
              <w:top w:w="60" w:type="dxa"/>
              <w:left w:w="120" w:type="dxa"/>
              <w:bottom w:w="30" w:type="dxa"/>
              <w:right w:w="120" w:type="dxa"/>
            </w:tcMar>
            <w:vAlign w:val="top"/>
          </w:tcPr>
          <w:p w14:paraId="630D9E7D">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三级</w:t>
            </w:r>
          </w:p>
        </w:tc>
        <w:tc>
          <w:tcPr>
            <w:tcW w:w="1512" w:type="dxa"/>
            <w:shd w:val="clear" w:color="auto" w:fill="auto"/>
            <w:tcMar>
              <w:top w:w="60" w:type="dxa"/>
              <w:left w:w="120" w:type="dxa"/>
              <w:bottom w:w="30" w:type="dxa"/>
              <w:right w:w="120" w:type="dxa"/>
            </w:tcMar>
            <w:vAlign w:val="top"/>
          </w:tcPr>
          <w:p w14:paraId="281A5C83">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零碳施工</w:t>
            </w:r>
          </w:p>
        </w:tc>
        <w:tc>
          <w:tcPr>
            <w:tcW w:w="1800" w:type="dxa"/>
            <w:shd w:val="clear" w:color="auto" w:fill="auto"/>
            <w:tcMar>
              <w:top w:w="60" w:type="dxa"/>
              <w:left w:w="120" w:type="dxa"/>
              <w:bottom w:w="30" w:type="dxa"/>
              <w:right w:w="120" w:type="dxa"/>
            </w:tcMar>
            <w:vAlign w:val="top"/>
          </w:tcPr>
          <w:p w14:paraId="3EF360FE">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总分</w:t>
            </w:r>
            <w:r>
              <w:rPr>
                <w:rFonts w:hint="default" w:ascii="Arial" w:hAnsi="Arial" w:eastAsia="等线" w:cs="Arial"/>
                <w:snapToGrid/>
                <w:color w:val="000000"/>
                <w:kern w:val="2"/>
                <w:lang w:val="en-US" w:eastAsia="zh-CN" w:bidi="ar"/>
              </w:rPr>
              <w:t>≥</w:t>
            </w:r>
            <w:r>
              <w:rPr>
                <w:rFonts w:hint="eastAsia" w:eastAsia="等线" w:cs="Arial"/>
                <w:snapToGrid/>
                <w:color w:val="000000"/>
                <w:kern w:val="2"/>
                <w:lang w:val="en-US" w:eastAsia="zh-CN" w:bidi="ar"/>
              </w:rPr>
              <w:t>95</w:t>
            </w:r>
            <w:r>
              <w:rPr>
                <w:rFonts w:hint="eastAsia" w:ascii="Arial" w:hAnsi="Arial" w:eastAsia="等线" w:cs="等线"/>
                <w:snapToGrid/>
                <w:color w:val="000000"/>
                <w:kern w:val="2"/>
                <w:lang w:val="en-US" w:eastAsia="zh-CN" w:bidi="ar"/>
              </w:rPr>
              <w:t>分</w:t>
            </w:r>
          </w:p>
        </w:tc>
        <w:tc>
          <w:tcPr>
            <w:tcW w:w="2522" w:type="dxa"/>
            <w:shd w:val="clear" w:color="auto" w:fill="auto"/>
            <w:tcMar>
              <w:top w:w="60" w:type="dxa"/>
              <w:left w:w="120" w:type="dxa"/>
              <w:bottom w:w="30" w:type="dxa"/>
              <w:right w:w="120" w:type="dxa"/>
            </w:tcMar>
            <w:vAlign w:val="top"/>
          </w:tcPr>
          <w:p w14:paraId="4611442F">
            <w:pPr>
              <w:keepNext w:val="0"/>
              <w:keepLines w:val="0"/>
              <w:widowControl w:val="0"/>
              <w:suppressLineNumbers w:val="0"/>
              <w:kinsoku/>
              <w:autoSpaceDE/>
              <w:autoSpaceDN w:val="0"/>
              <w:bidi w:val="0"/>
              <w:adjustRightInd/>
              <w:snapToGrid/>
              <w:spacing w:before="0" w:beforeAutospacing="0" w:after="0" w:afterAutospacing="0" w:line="288" w:lineRule="auto"/>
              <w:ind w:left="0" w:right="0"/>
              <w:jc w:val="center"/>
              <w:rPr>
                <w:rFonts w:hint="eastAsia" w:ascii="等线" w:hAnsi="等线" w:eastAsia="等线" w:cs="Times New Roman"/>
                <w:snapToGrid/>
                <w:color w:val="auto"/>
                <w:kern w:val="2"/>
                <w:lang w:val="en-US" w:eastAsia="zh-CN"/>
              </w:rPr>
            </w:pPr>
            <w:r>
              <w:rPr>
                <w:rFonts w:hint="eastAsia" w:ascii="Arial" w:hAnsi="Arial" w:eastAsia="等线" w:cs="等线"/>
                <w:snapToGrid/>
                <w:color w:val="000000"/>
                <w:kern w:val="2"/>
                <w:lang w:val="en-US" w:eastAsia="zh-CN" w:bidi="ar"/>
              </w:rPr>
              <w:t>碳排放强度</w:t>
            </w:r>
            <w:r>
              <w:rPr>
                <w:rFonts w:hint="default" w:ascii="Arial" w:hAnsi="Arial" w:eastAsia="等线" w:cs="Arial"/>
                <w:snapToGrid/>
                <w:color w:val="000000"/>
                <w:kern w:val="2"/>
                <w:lang w:val="en-US" w:eastAsia="zh-CN" w:bidi="ar"/>
              </w:rPr>
              <w:t>≤</w:t>
            </w:r>
            <w:r>
              <w:rPr>
                <w:rFonts w:hint="eastAsia" w:ascii="Arial" w:hAnsi="Arial" w:eastAsia="等线" w:cs="等线"/>
                <w:snapToGrid/>
                <w:color w:val="000000"/>
                <w:kern w:val="2"/>
                <w:lang w:val="en-US" w:eastAsia="zh-CN" w:bidi="ar"/>
              </w:rPr>
              <w:t>0</w:t>
            </w:r>
          </w:p>
        </w:tc>
      </w:tr>
    </w:tbl>
    <w:p w14:paraId="2F3BE651">
      <w:pPr>
        <w:pStyle w:val="14"/>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rPr>
          <w:b/>
          <w:bCs/>
          <w:lang w:val="en-US" w:eastAsia="zh-CN"/>
        </w:rPr>
      </w:pPr>
    </w:p>
    <w:p w14:paraId="5F4043C1">
      <w:pPr>
        <w:pStyle w:val="7"/>
      </w:pPr>
    </w:p>
    <w:p w14:paraId="2207A78E">
      <w:pPr>
        <w:spacing w:before="92" w:line="222" w:lineRule="auto"/>
        <w:ind w:left="3178"/>
        <w:outlineLvl w:val="1"/>
        <w:rPr>
          <w:rFonts w:hint="eastAsia" w:ascii="黑体" w:hAnsi="黑体" w:eastAsia="黑体" w:cs="黑体"/>
          <w:b/>
          <w:bCs/>
          <w:spacing w:val="-5"/>
          <w:sz w:val="28"/>
          <w:szCs w:val="28"/>
        </w:rPr>
      </w:pPr>
      <w:bookmarkStart w:id="66" w:name="_Toc10884"/>
      <w:r>
        <w:rPr>
          <w:rFonts w:hint="eastAsia" w:ascii="黑体" w:hAnsi="黑体" w:eastAsia="黑体" w:cs="黑体"/>
          <w:b/>
          <w:bCs/>
          <w:spacing w:val="-5"/>
          <w:sz w:val="24"/>
          <w:szCs w:val="24"/>
          <w:lang w:val="en-US" w:eastAsia="zh-CN"/>
        </w:rPr>
        <w:t>7.6</w:t>
      </w:r>
      <w:r>
        <w:rPr>
          <w:rFonts w:ascii="黑体" w:hAnsi="黑体" w:eastAsia="黑体" w:cs="黑体"/>
          <w:spacing w:val="113"/>
          <w:sz w:val="24"/>
          <w:szCs w:val="24"/>
        </w:rPr>
        <w:t xml:space="preserve"> </w:t>
      </w:r>
      <w:r>
        <w:rPr>
          <w:rFonts w:hint="eastAsia" w:ascii="黑体" w:hAnsi="黑体" w:eastAsia="黑体" w:cs="黑体"/>
          <w:b/>
          <w:bCs/>
          <w:spacing w:val="-5"/>
          <w:sz w:val="28"/>
          <w:szCs w:val="28"/>
        </w:rPr>
        <w:t>碳汇抵消管理</w:t>
      </w:r>
      <w:bookmarkEnd w:id="66"/>
    </w:p>
    <w:p w14:paraId="7496D29F">
      <w:pPr>
        <w:spacing w:before="92" w:line="222" w:lineRule="auto"/>
        <w:ind w:left="3178"/>
        <w:outlineLvl w:val="1"/>
        <w:rPr>
          <w:rFonts w:hint="eastAsia" w:ascii="黑体" w:hAnsi="黑体" w:eastAsia="黑体" w:cs="黑体"/>
          <w:b/>
          <w:bCs/>
          <w:spacing w:val="-5"/>
          <w:sz w:val="28"/>
          <w:szCs w:val="28"/>
        </w:rPr>
      </w:pPr>
    </w:p>
    <w:p w14:paraId="782B318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hint="eastAsia" w:ascii="Times New Roman" w:hAnsi="Times New Roman" w:eastAsia="Times New Roman" w:cs="Times New Roman"/>
          <w:b/>
          <w:bCs/>
          <w:snapToGrid w:val="0"/>
          <w:color w:val="000000"/>
          <w:spacing w:val="-4"/>
          <w:kern w:val="0"/>
          <w:sz w:val="24"/>
          <w:szCs w:val="24"/>
          <w:lang w:val="en-US" w:eastAsia="zh-CN" w:bidi="ar"/>
        </w:rPr>
        <w:t>7.6.1</w:t>
      </w:r>
      <w:r>
        <w:rPr>
          <w:rFonts w:ascii="Times New Roman" w:hAnsi="Times New Roman" w:eastAsia="Times New Roman" w:cs="Times New Roman"/>
          <w:b/>
          <w:bCs/>
          <w:spacing w:val="-4"/>
          <w:sz w:val="24"/>
          <w:szCs w:val="24"/>
        </w:rPr>
        <w:t xml:space="preserve">  </w:t>
      </w:r>
      <w:r>
        <w:rPr>
          <w:rFonts w:hint="eastAsia" w:ascii="Times New Roman" w:hAnsi="Times New Roman" w:eastAsia="Times New Roman" w:cs="Times New Roman"/>
          <w:b/>
          <w:bCs/>
          <w:spacing w:val="-4"/>
          <w:sz w:val="24"/>
          <w:szCs w:val="24"/>
          <w:lang w:val="en-US" w:eastAsia="zh-CN"/>
        </w:rPr>
        <w:t xml:space="preserve"> </w:t>
      </w:r>
      <w:r>
        <w:rPr>
          <w:rFonts w:hint="eastAsia" w:ascii="宋体" w:hAnsi="宋体" w:eastAsia="宋体" w:cs="宋体"/>
          <w:b/>
          <w:bCs/>
          <w:snapToGrid w:val="0"/>
          <w:color w:val="000000"/>
          <w:spacing w:val="-4"/>
          <w:kern w:val="0"/>
          <w:sz w:val="24"/>
          <w:szCs w:val="24"/>
          <w:lang w:val="en-US" w:eastAsia="zh-CN" w:bidi="ar"/>
        </w:rPr>
        <w:t>一般规定</w:t>
      </w:r>
    </w:p>
    <w:p w14:paraId="12B668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Times New Roman" w:eastAsia="宋体" w:cs="宋体"/>
          <w:snapToGrid/>
          <w:color w:val="000000"/>
          <w:kern w:val="0"/>
          <w:sz w:val="24"/>
          <w:szCs w:val="21"/>
          <w:lang w:val="en-US" w:eastAsia="zh-CN" w:bidi="ar"/>
        </w:rPr>
      </w:pPr>
      <w:r>
        <w:rPr>
          <w:rFonts w:hint="eastAsia" w:ascii="Times New Roman" w:hAnsi="Times New Roman" w:eastAsia="宋体" w:cs="宋体"/>
          <w:snapToGrid/>
          <w:color w:val="000000"/>
          <w:kern w:val="0"/>
          <w:sz w:val="24"/>
          <w:szCs w:val="21"/>
          <w:lang w:val="en-US" w:eastAsia="zh-CN" w:bidi="ar"/>
        </w:rPr>
        <w:t>1 项目建造阶段碳排放未达到管控目标时，应按本标准实施碳汇抵消，抵消行为应全程可追溯、可核查。</w:t>
      </w:r>
    </w:p>
    <w:p w14:paraId="43F637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Times New Roman" w:eastAsia="宋体" w:cs="宋体"/>
          <w:snapToGrid/>
          <w:color w:val="000000"/>
          <w:kern w:val="0"/>
          <w:sz w:val="24"/>
          <w:szCs w:val="21"/>
          <w:lang w:val="en-US" w:eastAsia="zh-CN" w:bidi="ar"/>
        </w:rPr>
      </w:pPr>
      <w:r>
        <w:rPr>
          <w:rFonts w:hint="eastAsia" w:ascii="Times New Roman" w:hAnsi="Times New Roman" w:eastAsia="宋体" w:cs="宋体"/>
          <w:snapToGrid/>
          <w:color w:val="000000"/>
          <w:kern w:val="0"/>
          <w:sz w:val="24"/>
          <w:szCs w:val="21"/>
          <w:lang w:val="en-US" w:eastAsia="zh-CN" w:bidi="ar"/>
        </w:rPr>
        <w:t>2 碳抵消应符合生态环境部《温室气体自愿减排交易管理办法》及本标准规定；</w:t>
      </w:r>
    </w:p>
    <w:p w14:paraId="24E2EB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Times New Roman" w:eastAsia="宋体" w:cs="宋体"/>
          <w:snapToGrid/>
          <w:color w:val="000000"/>
          <w:kern w:val="0"/>
          <w:sz w:val="24"/>
          <w:szCs w:val="21"/>
          <w:lang w:val="en-US" w:eastAsia="zh-CN" w:bidi="ar"/>
        </w:rPr>
      </w:pPr>
      <w:r>
        <w:rPr>
          <w:rFonts w:hint="eastAsia" w:ascii="Times New Roman" w:hAnsi="Times New Roman" w:eastAsia="宋体" w:cs="宋体"/>
          <w:snapToGrid/>
          <w:color w:val="000000"/>
          <w:kern w:val="0"/>
          <w:sz w:val="24"/>
          <w:szCs w:val="21"/>
          <w:lang w:val="en-US" w:eastAsia="zh-CN" w:bidi="ar"/>
        </w:rPr>
        <w:t>3 碳抵消不得替代强制性减排措施，抵消量不得超过项目建造阶段总排放量的 20%。</w:t>
      </w:r>
    </w:p>
    <w:p w14:paraId="538B44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hint="eastAsia" w:ascii="Times New Roman" w:hAnsi="Times New Roman" w:eastAsia="Times New Roman" w:cs="Times New Roman"/>
          <w:b/>
          <w:bCs/>
          <w:snapToGrid w:val="0"/>
          <w:color w:val="000000"/>
          <w:spacing w:val="-4"/>
          <w:kern w:val="0"/>
          <w:sz w:val="24"/>
          <w:szCs w:val="24"/>
          <w:lang w:val="en-US" w:eastAsia="zh-CN" w:bidi="ar"/>
        </w:rPr>
        <w:t>7.6.2</w:t>
      </w:r>
      <w:r>
        <w:rPr>
          <w:rFonts w:ascii="Times New Roman" w:hAnsi="Times New Roman" w:eastAsia="Times New Roman" w:cs="Times New Roman"/>
          <w:b/>
          <w:bCs/>
          <w:spacing w:val="-4"/>
          <w:sz w:val="24"/>
          <w:szCs w:val="24"/>
        </w:rPr>
        <w:t xml:space="preserve">  </w:t>
      </w:r>
      <w:r>
        <w:rPr>
          <w:rFonts w:hint="eastAsia" w:ascii="Times New Roman" w:hAnsi="Times New Roman" w:eastAsia="Times New Roman" w:cs="Times New Roman"/>
          <w:b/>
          <w:bCs/>
          <w:spacing w:val="-4"/>
          <w:sz w:val="24"/>
          <w:szCs w:val="24"/>
          <w:lang w:val="en-US" w:eastAsia="zh-CN"/>
        </w:rPr>
        <w:t xml:space="preserve"> </w:t>
      </w:r>
      <w:r>
        <w:rPr>
          <w:rFonts w:hint="eastAsia" w:ascii="宋体" w:hAnsi="宋体" w:eastAsia="宋体" w:cs="宋体"/>
          <w:b/>
          <w:bCs/>
          <w:snapToGrid w:val="0"/>
          <w:color w:val="000000"/>
          <w:spacing w:val="-4"/>
          <w:kern w:val="0"/>
          <w:sz w:val="24"/>
          <w:szCs w:val="24"/>
          <w:lang w:val="en-US" w:eastAsia="zh-CN" w:bidi="ar"/>
        </w:rPr>
        <w:t>碳汇抵消实施流程</w:t>
      </w:r>
    </w:p>
    <w:p w14:paraId="71ADC1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napToGrid w:val="0"/>
          <w:color w:val="000000"/>
          <w:kern w:val="0"/>
          <w:sz w:val="24"/>
          <w:szCs w:val="24"/>
          <w:lang w:val="en-US" w:eastAsia="zh-CN" w:bidi="ar"/>
        </w:rPr>
      </w:pPr>
      <w:r>
        <w:rPr>
          <w:rFonts w:ascii="宋体" w:hAnsi="宋体" w:eastAsia="宋体" w:cs="宋体"/>
          <w:snapToGrid w:val="0"/>
          <w:color w:val="000000"/>
          <w:kern w:val="0"/>
          <w:sz w:val="24"/>
          <w:szCs w:val="24"/>
          <w:lang w:val="en-US" w:eastAsia="zh-CN" w:bidi="ar"/>
        </w:rPr>
        <w:t>1 核算与判定按《建筑碳排放计算标准》GB/T 51366 与本标准核算建造阶段碳排放，委托第三方出具核证报告，确认碳排放超标量。</w:t>
      </w:r>
    </w:p>
    <w:p w14:paraId="2D3BD5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napToGrid w:val="0"/>
          <w:color w:val="000000"/>
          <w:kern w:val="0"/>
          <w:sz w:val="24"/>
          <w:szCs w:val="24"/>
          <w:lang w:val="en-US" w:eastAsia="zh-CN" w:bidi="ar"/>
        </w:rPr>
      </w:pPr>
      <w:r>
        <w:rPr>
          <w:rFonts w:ascii="宋体" w:hAnsi="宋体" w:eastAsia="宋体" w:cs="宋体"/>
          <w:snapToGrid w:val="0"/>
          <w:color w:val="000000"/>
          <w:kern w:val="0"/>
          <w:sz w:val="24"/>
          <w:szCs w:val="24"/>
          <w:lang w:val="en-US" w:eastAsia="zh-CN" w:bidi="ar"/>
        </w:rPr>
        <w:t>2 碳抵消量= 核算总碳排放量−允许碳排放量</w:t>
      </w:r>
    </w:p>
    <w:p w14:paraId="59FB72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napToGrid w:val="0"/>
          <w:color w:val="000000"/>
          <w:kern w:val="0"/>
          <w:sz w:val="24"/>
          <w:szCs w:val="24"/>
          <w:lang w:val="en-US" w:eastAsia="zh-CN" w:bidi="ar"/>
        </w:rPr>
      </w:pPr>
      <w:r>
        <w:rPr>
          <w:rFonts w:ascii="宋体" w:hAnsi="宋体" w:eastAsia="宋体" w:cs="宋体"/>
          <w:snapToGrid w:val="0"/>
          <w:color w:val="000000"/>
          <w:kern w:val="0"/>
          <w:sz w:val="24"/>
          <w:szCs w:val="24"/>
          <w:lang w:val="en-US" w:eastAsia="zh-CN" w:bidi="ar"/>
        </w:rPr>
        <w:t>3 碳汇采购与备案购买对应体量的 CCER、林业碳汇并签订交易合同，取得权属登记凭证；建立碳抵消专项台账，留存交易、核证、支付全套凭证。</w:t>
      </w:r>
    </w:p>
    <w:p w14:paraId="583828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hint="eastAsia" w:ascii="Times New Roman" w:hAnsi="Times New Roman" w:eastAsia="Times New Roman" w:cs="Times New Roman"/>
          <w:b/>
          <w:bCs/>
          <w:snapToGrid w:val="0"/>
          <w:color w:val="000000"/>
          <w:spacing w:val="-4"/>
          <w:kern w:val="0"/>
          <w:sz w:val="24"/>
          <w:szCs w:val="24"/>
          <w:lang w:val="en-US" w:eastAsia="zh-CN" w:bidi="ar"/>
        </w:rPr>
        <w:t>7.6.3</w:t>
      </w:r>
      <w:r>
        <w:rPr>
          <w:rFonts w:ascii="Times New Roman" w:hAnsi="Times New Roman" w:eastAsia="Times New Roman" w:cs="Times New Roman"/>
          <w:b/>
          <w:bCs/>
          <w:spacing w:val="-4"/>
          <w:sz w:val="24"/>
          <w:szCs w:val="24"/>
        </w:rPr>
        <w:t xml:space="preserve">  </w:t>
      </w:r>
      <w:r>
        <w:rPr>
          <w:rFonts w:hint="eastAsia" w:ascii="Times New Roman" w:hAnsi="Times New Roman" w:eastAsia="Times New Roman" w:cs="Times New Roman"/>
          <w:b/>
          <w:bCs/>
          <w:spacing w:val="-4"/>
          <w:sz w:val="24"/>
          <w:szCs w:val="24"/>
          <w:lang w:val="en-US" w:eastAsia="zh-CN"/>
        </w:rPr>
        <w:t xml:space="preserve"> </w:t>
      </w:r>
      <w:r>
        <w:rPr>
          <w:color w:val="000000"/>
          <w:sz w:val="24"/>
          <w:szCs w:val="24"/>
        </w:rPr>
        <w:t>技术要求</w:t>
      </w:r>
    </w:p>
    <w:p w14:paraId="5CF35D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napToGrid w:val="0"/>
          <w:color w:val="000000"/>
          <w:kern w:val="0"/>
          <w:sz w:val="24"/>
          <w:szCs w:val="24"/>
          <w:lang w:val="en-US" w:eastAsia="zh-CN" w:bidi="ar"/>
        </w:rPr>
      </w:pPr>
      <w:r>
        <w:rPr>
          <w:rFonts w:hint="eastAsia" w:ascii="Times New Roman" w:hAnsi="Times New Roman" w:eastAsia="宋体" w:cs="宋体"/>
          <w:snapToGrid/>
          <w:color w:val="000000"/>
          <w:kern w:val="0"/>
          <w:sz w:val="24"/>
          <w:szCs w:val="21"/>
          <w:lang w:val="en-US" w:eastAsia="zh-CN" w:bidi="ar"/>
        </w:rPr>
        <w:t>1</w:t>
      </w:r>
      <w:r>
        <w:rPr>
          <w:rFonts w:ascii="宋体" w:hAnsi="宋体" w:eastAsia="宋体" w:cs="宋体"/>
          <w:snapToGrid w:val="0"/>
          <w:color w:val="000000"/>
          <w:kern w:val="0"/>
          <w:sz w:val="24"/>
          <w:szCs w:val="24"/>
          <w:lang w:val="en-US" w:eastAsia="zh-CN" w:bidi="ar"/>
        </w:rPr>
        <w:t xml:space="preserve"> 碳汇项目应具备可测量、可报告、可核查属性，符合国家自愿减排管理要求；</w:t>
      </w:r>
    </w:p>
    <w:p w14:paraId="344664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napToGrid w:val="0"/>
          <w:color w:val="000000"/>
          <w:kern w:val="0"/>
          <w:sz w:val="24"/>
          <w:szCs w:val="24"/>
          <w:lang w:val="en-US" w:eastAsia="zh-CN" w:bidi="ar"/>
        </w:rPr>
      </w:pPr>
      <w:r>
        <w:rPr>
          <w:rFonts w:hint="eastAsia" w:ascii="Times New Roman" w:hAnsi="Times New Roman" w:eastAsia="宋体" w:cs="宋体"/>
          <w:snapToGrid/>
          <w:color w:val="000000"/>
          <w:kern w:val="0"/>
          <w:sz w:val="24"/>
          <w:szCs w:val="21"/>
          <w:lang w:val="en-US" w:eastAsia="zh-CN" w:bidi="ar"/>
        </w:rPr>
        <w:t>2</w:t>
      </w:r>
      <w:r>
        <w:rPr>
          <w:rFonts w:ascii="宋体" w:hAnsi="宋体" w:eastAsia="宋体" w:cs="宋体"/>
          <w:snapToGrid w:val="0"/>
          <w:color w:val="000000"/>
          <w:kern w:val="0"/>
          <w:sz w:val="24"/>
          <w:szCs w:val="24"/>
          <w:lang w:val="en-US" w:eastAsia="zh-CN" w:bidi="ar"/>
        </w:rPr>
        <w:t xml:space="preserve"> 优先选用林业碳汇、生态修复碳汇，鼓励采购项目属地碳汇，杜绝减排量双重计算；</w:t>
      </w:r>
    </w:p>
    <w:p w14:paraId="5BB03D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napToGrid w:val="0"/>
          <w:color w:val="000000"/>
          <w:kern w:val="0"/>
          <w:sz w:val="24"/>
          <w:szCs w:val="24"/>
          <w:lang w:val="en-US" w:eastAsia="zh-CN" w:bidi="ar"/>
        </w:rPr>
      </w:pPr>
      <w:r>
        <w:rPr>
          <w:rFonts w:hint="eastAsia" w:ascii="Times New Roman" w:hAnsi="Times New Roman" w:eastAsia="宋体" w:cs="宋体"/>
          <w:snapToGrid/>
          <w:color w:val="000000"/>
          <w:kern w:val="0"/>
          <w:sz w:val="24"/>
          <w:szCs w:val="21"/>
          <w:lang w:val="en-US" w:eastAsia="zh-CN" w:bidi="ar"/>
        </w:rPr>
        <w:t>3</w:t>
      </w:r>
      <w:r>
        <w:rPr>
          <w:rFonts w:ascii="宋体" w:hAnsi="宋体" w:eastAsia="宋体" w:cs="宋体"/>
          <w:snapToGrid w:val="0"/>
          <w:color w:val="000000"/>
          <w:kern w:val="0"/>
          <w:sz w:val="24"/>
          <w:szCs w:val="24"/>
          <w:lang w:val="en-US" w:eastAsia="zh-CN" w:bidi="ar"/>
        </w:rPr>
        <w:t xml:space="preserve"> 绿电</w:t>
      </w:r>
      <w:r>
        <w:rPr>
          <w:rFonts w:hint="eastAsia" w:ascii="宋体" w:hAnsi="宋体" w:eastAsia="宋体" w:cs="宋体"/>
          <w:snapToGrid w:val="0"/>
          <w:color w:val="000000"/>
          <w:kern w:val="0"/>
          <w:sz w:val="24"/>
          <w:szCs w:val="24"/>
          <w:lang w:val="en-US" w:eastAsia="zh-CN" w:bidi="ar"/>
        </w:rPr>
        <w:t>或</w:t>
      </w:r>
      <w:r>
        <w:rPr>
          <w:rFonts w:ascii="宋体" w:hAnsi="宋体" w:eastAsia="宋体" w:cs="宋体"/>
          <w:snapToGrid w:val="0"/>
          <w:color w:val="000000"/>
          <w:kern w:val="0"/>
          <w:sz w:val="24"/>
          <w:szCs w:val="24"/>
          <w:lang w:val="en-US" w:eastAsia="zh-CN" w:bidi="ar"/>
        </w:rPr>
        <w:t>绿证仅可抵消施工阶段电力消耗产生</w:t>
      </w:r>
      <w:r>
        <w:rPr>
          <w:rFonts w:hint="eastAsia" w:ascii="宋体" w:hAnsi="宋体" w:eastAsia="宋体" w:cs="宋体"/>
          <w:snapToGrid w:val="0"/>
          <w:color w:val="000000"/>
          <w:kern w:val="0"/>
          <w:sz w:val="24"/>
          <w:szCs w:val="24"/>
          <w:lang w:val="en-US" w:eastAsia="zh-CN" w:bidi="ar"/>
        </w:rPr>
        <w:t>的碳</w:t>
      </w:r>
      <w:r>
        <w:rPr>
          <w:rFonts w:ascii="宋体" w:hAnsi="宋体" w:eastAsia="宋体" w:cs="宋体"/>
          <w:snapToGrid w:val="0"/>
          <w:color w:val="000000"/>
          <w:kern w:val="0"/>
          <w:sz w:val="24"/>
          <w:szCs w:val="24"/>
          <w:lang w:val="en-US" w:eastAsia="zh-CN" w:bidi="ar"/>
        </w:rPr>
        <w:t>排放，不得跨类别抵消其他碳排放；</w:t>
      </w:r>
    </w:p>
    <w:p w14:paraId="479E33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hint="eastAsia" w:ascii="Times New Roman" w:hAnsi="Times New Roman" w:eastAsia="宋体" w:cs="宋体"/>
          <w:snapToGrid/>
          <w:color w:val="000000"/>
          <w:kern w:val="0"/>
          <w:sz w:val="24"/>
          <w:szCs w:val="21"/>
          <w:lang w:val="en-US" w:eastAsia="zh-CN" w:bidi="ar"/>
        </w:rPr>
        <w:t>4</w:t>
      </w:r>
      <w:r>
        <w:rPr>
          <w:rFonts w:ascii="宋体" w:hAnsi="宋体" w:eastAsia="宋体" w:cs="宋体"/>
          <w:snapToGrid w:val="0"/>
          <w:color w:val="000000"/>
          <w:kern w:val="0"/>
          <w:sz w:val="24"/>
          <w:szCs w:val="24"/>
          <w:lang w:val="en-US" w:eastAsia="zh-CN" w:bidi="ar"/>
        </w:rPr>
        <w:t xml:space="preserve"> 碳抵消全部资料纳入竣工低碳评价档案，作为评估等级评定的核心依据。</w:t>
      </w:r>
    </w:p>
    <w:p w14:paraId="263CF471">
      <w:pPr>
        <w:sectPr>
          <w:footerReference r:id="rId14" w:type="default"/>
          <w:pgSz w:w="11906" w:h="16839"/>
          <w:pgMar w:top="1689" w:right="1690" w:bottom="1126" w:left="1687" w:header="0" w:footer="960" w:gutter="0"/>
          <w:pgNumType w:fmt="decimal"/>
          <w:cols w:space="720" w:num="1"/>
        </w:sectPr>
      </w:pPr>
    </w:p>
    <w:p w14:paraId="2961E3BF">
      <w:pPr>
        <w:pStyle w:val="7"/>
        <w:spacing w:line="255" w:lineRule="auto"/>
      </w:pPr>
    </w:p>
    <w:p w14:paraId="12FBD332">
      <w:pPr>
        <w:pStyle w:val="4"/>
        <w:snapToGrid/>
        <w:spacing w:line="360" w:lineRule="auto"/>
        <w:ind w:left="0" w:right="0"/>
      </w:pPr>
      <w:bookmarkStart w:id="67" w:name="_Toc28064"/>
      <w:r>
        <w:rPr>
          <w:rFonts w:ascii="宋体" w:hAnsi="宋体" w:eastAsia="宋体" w:cs="宋体"/>
          <w:i w:val="0"/>
          <w:strike w:val="0"/>
          <w:color w:val="000000"/>
          <w:sz w:val="24"/>
          <w:u w:val="none"/>
        </w:rPr>
        <w:t> </w:t>
      </w:r>
      <w:bookmarkEnd w:id="67"/>
    </w:p>
    <w:p w14:paraId="3BD5B310">
      <w:pPr>
        <w:pStyle w:val="2"/>
        <w:snapToGrid/>
        <w:spacing w:before="101" w:after="0" w:line="223" w:lineRule="auto"/>
        <w:ind w:left="0" w:right="0"/>
        <w:jc w:val="center"/>
        <w:rPr>
          <w:rFonts w:hint="eastAsia" w:ascii="黑体" w:hAnsi="黑体" w:eastAsia="黑体" w:cs="黑体"/>
          <w:sz w:val="28"/>
          <w:szCs w:val="28"/>
        </w:rPr>
      </w:pPr>
      <w:bookmarkStart w:id="68" w:name="_Toc9910"/>
      <w:r>
        <w:rPr>
          <w:rFonts w:hint="eastAsia" w:ascii="黑体" w:hAnsi="黑体" w:eastAsia="黑体" w:cs="黑体"/>
          <w:sz w:val="28"/>
          <w:szCs w:val="28"/>
        </w:rPr>
        <w:t>附录A 评估场景分析</w:t>
      </w:r>
      <w:bookmarkEnd w:id="68"/>
    </w:p>
    <w:p w14:paraId="654013E9">
      <w:pPr>
        <w:pStyle w:val="3"/>
        <w:bidi w:val="0"/>
        <w:rPr>
          <w:rFonts w:hint="eastAsia" w:ascii="黑体" w:hAnsi="黑体" w:eastAsia="黑体" w:cs="黑体"/>
          <w:i w:val="0"/>
          <w:strike w:val="0"/>
          <w:color w:val="auto"/>
          <w:sz w:val="28"/>
          <w:szCs w:val="28"/>
          <w:u w:val="none"/>
        </w:rPr>
      </w:pPr>
      <w:bookmarkStart w:id="69" w:name="_Toc15909"/>
      <w:r>
        <w:rPr>
          <w:rFonts w:hint="eastAsia" w:ascii="黑体" w:hAnsi="黑体" w:eastAsia="黑体" w:cs="黑体"/>
          <w:i w:val="0"/>
          <w:strike w:val="0"/>
          <w:color w:val="auto"/>
          <w:sz w:val="28"/>
          <w:szCs w:val="28"/>
          <w:u w:val="none"/>
        </w:rPr>
        <w:t>A.0.1</w:t>
      </w:r>
      <w:bookmarkStart w:id="70" w:name="_Tocfcwui0"/>
      <w:r>
        <w:rPr>
          <w:rFonts w:hint="eastAsia" w:ascii="黑体" w:hAnsi="黑体" w:eastAsia="黑体" w:cs="黑体"/>
          <w:i w:val="0"/>
          <w:strike w:val="0"/>
          <w:color w:val="auto"/>
          <w:sz w:val="28"/>
          <w:szCs w:val="28"/>
          <w:u w:val="none"/>
          <w:lang w:val="en-US" w:eastAsia="zh-CN"/>
        </w:rPr>
        <w:t xml:space="preserve"> </w:t>
      </w:r>
      <w:r>
        <w:rPr>
          <w:rFonts w:hint="eastAsia" w:ascii="黑体" w:hAnsi="黑体" w:eastAsia="黑体" w:cs="黑体"/>
          <w:i w:val="0"/>
          <w:strike w:val="0"/>
          <w:color w:val="auto"/>
          <w:sz w:val="28"/>
          <w:szCs w:val="28"/>
          <w:u w:val="none"/>
        </w:rPr>
        <w:t>场景一详细打分——低碳施工（一级）</w:t>
      </w:r>
      <w:bookmarkEnd w:id="69"/>
      <w:bookmarkEnd w:id="70"/>
    </w:p>
    <w:p w14:paraId="342F45C6">
      <w:pPr>
        <w:rPr>
          <w:rFonts w:hint="eastAsia"/>
        </w:rPr>
      </w:pPr>
    </w:p>
    <w:p w14:paraId="62FAE10B">
      <w:pPr>
        <w:bidi w:val="0"/>
        <w:rPr>
          <w:sz w:val="24"/>
          <w:szCs w:val="24"/>
        </w:rPr>
      </w:pPr>
      <w:bookmarkStart w:id="71" w:name="_Tocf900d7"/>
      <w:r>
        <w:rPr>
          <w:sz w:val="24"/>
          <w:szCs w:val="24"/>
        </w:rPr>
        <w:t>（1）场景条件</w:t>
      </w:r>
      <w:bookmarkEnd w:id="71"/>
    </w:p>
    <w:p w14:paraId="777F42DD">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项目类型：普通住宅小区，建筑面积3万m²，普通总包</w:t>
      </w:r>
    </w:p>
    <w:p w14:paraId="7358D7BA">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施工管理：初步零碳方案，局部绿电，电动化率60%，数字化台账</w:t>
      </w:r>
    </w:p>
    <w:p w14:paraId="75D46880">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施工技术：光伏已安装，装配率80%，干法施工较好</w:t>
      </w:r>
    </w:p>
    <w:p w14:paraId="1BCB1BF9">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供应链：本地采购达标，供应商管理体系尚不成熟</w:t>
      </w:r>
    </w:p>
    <w:p w14:paraId="3680DFC2">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碳排放：约10 kgCO₂e/m²，无碳汇抵消</w:t>
      </w:r>
    </w:p>
    <w:p w14:paraId="3F7C6045">
      <w:pPr>
        <w:snapToGrid/>
        <w:spacing w:before="60" w:after="0" w:line="240" w:lineRule="auto"/>
        <w:ind w:left="0" w:right="0"/>
        <w:rPr>
          <w:sz w:val="24"/>
          <w:szCs w:val="24"/>
        </w:rPr>
      </w:pPr>
      <w:r>
        <w:rPr>
          <w:rFonts w:ascii="宋体" w:hAnsi="宋体" w:eastAsia="宋体" w:cs="宋体"/>
          <w:i w:val="0"/>
          <w:strike w:val="0"/>
          <w:color w:val="000000"/>
          <w:sz w:val="24"/>
          <w:szCs w:val="24"/>
          <w:u w:val="none"/>
        </w:rPr>
        <w:t> </w:t>
      </w:r>
    </w:p>
    <w:p w14:paraId="59102C82">
      <w:pPr>
        <w:bidi w:val="0"/>
        <w:rPr>
          <w:sz w:val="24"/>
          <w:szCs w:val="24"/>
        </w:rPr>
      </w:pPr>
      <w:bookmarkStart w:id="72" w:name="_Tocuyy9j2"/>
      <w:r>
        <w:rPr>
          <w:sz w:val="24"/>
          <w:szCs w:val="24"/>
        </w:rPr>
        <w:t>（2）逐项评分（72.5分）</w:t>
      </w:r>
      <w:bookmarkEnd w:id="72"/>
    </w:p>
    <w:tbl>
      <w:tblPr>
        <w:tblStyle w:val="16"/>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2400"/>
        <w:gridCol w:w="690"/>
        <w:gridCol w:w="690"/>
        <w:gridCol w:w="5550"/>
      </w:tblGrid>
      <w:tr w14:paraId="5CD0AF44">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1C319C0">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评估子项</w:t>
            </w:r>
          </w:p>
        </w:tc>
        <w:tc>
          <w:tcPr>
            <w:tcW w:w="690"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C8F0D0C">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满分</w:t>
            </w:r>
          </w:p>
        </w:tc>
        <w:tc>
          <w:tcPr>
            <w:tcW w:w="690"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8A833CD">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得分</w:t>
            </w:r>
          </w:p>
        </w:tc>
        <w:tc>
          <w:tcPr>
            <w:tcW w:w="5550"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9E051B3">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情景说明（施工措施 &amp; 判分逻辑）</w:t>
            </w:r>
          </w:p>
        </w:tc>
      </w:tr>
      <w:tr w14:paraId="624AAE3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9330" w:type="dxa"/>
            <w:gridSpan w:val="4"/>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272F2A5">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b/>
                <w:i w:val="0"/>
                <w:strike w:val="0"/>
                <w:color w:val="000000"/>
                <w:spacing w:val="0"/>
                <w:sz w:val="21"/>
                <w:szCs w:val="21"/>
                <w:u w:val="none"/>
              </w:rPr>
              <w:t>施工管理（45分）</w:t>
            </w:r>
          </w:p>
        </w:tc>
      </w:tr>
      <w:tr w14:paraId="4130AC1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1E1AD8E">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施工前期策划</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6A63C41">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36BDFAA">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E1E5C1B">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方案编制+监理审查4分；仅培训无考核2分；平台仅台账未实现共享1分</w:t>
            </w:r>
          </w:p>
        </w:tc>
      </w:tr>
      <w:tr w14:paraId="642D2BF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6BA7B2F9">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施工过程碳管控</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2FAD232">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8CC926E">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11</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7F9E3C9">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绿电覆盖80%区域、偶有柴油机4分；电动化率60%得3分；台账+季报4分</w:t>
            </w:r>
          </w:p>
        </w:tc>
      </w:tr>
      <w:tr w14:paraId="125BBFB5">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E71F08F">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施工后期管理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D175FA8">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B871371">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8273FD9">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竣工核查4分；废弃物回收率55%得2分；电子化资料70%得1分</w:t>
            </w:r>
          </w:p>
        </w:tc>
      </w:tr>
      <w:tr w14:paraId="034C0C4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6D52E840">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安全应急协同</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929BDE7">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E0B6291">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7FD1331">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预案编制备案4分；应急演练3分；无事故无碳补偿预案0分</w:t>
            </w:r>
          </w:p>
        </w:tc>
      </w:tr>
      <w:tr w14:paraId="3A96D9B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9330" w:type="dxa"/>
            <w:gridSpan w:val="4"/>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213C49E">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b/>
                <w:i w:val="0"/>
                <w:strike w:val="0"/>
                <w:color w:val="000000"/>
                <w:spacing w:val="0"/>
                <w:sz w:val="21"/>
                <w:szCs w:val="21"/>
                <w:u w:val="none"/>
              </w:rPr>
              <w:t>施工技术（35分）</w:t>
            </w:r>
          </w:p>
        </w:tc>
      </w:tr>
      <w:tr w14:paraId="31324FA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2E67153">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施工准备低碳技术</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8243260">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8</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EE2CC14">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4.5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5A8E9BB">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土方平衡率65%得3分；临时设施装配率80%周转8次扣1.5分；绿电80%无分项计量扣2分</w:t>
            </w:r>
          </w:p>
        </w:tc>
      </w:tr>
      <w:tr w14:paraId="3B5DE1A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8B1A0FC">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分部分项低碳施工</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02FC68D">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F17FEBA">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C048E4E">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钢支撑15次+再生骨料25%扣2.5分；围护施工得5分；BIM+预制35%得2.5分</w:t>
            </w:r>
          </w:p>
        </w:tc>
      </w:tr>
      <w:tr w14:paraId="6A1BA042">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7B5FE890">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材料循环利用</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CB40B29">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AC3B81C">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6</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F2FF030">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模板32次+周转材料52次得3分；再生建材基本达标但报告不全扣1分得3分</w:t>
            </w:r>
          </w:p>
        </w:tc>
      </w:tr>
      <w:tr w14:paraId="779D8DC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279BB2CB">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可再生能源应用</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8D1BEAB">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D10DE2D">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5D270DB">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光伏系统安装+独立计量完整，得5分</w:t>
            </w:r>
          </w:p>
        </w:tc>
      </w:tr>
      <w:tr w14:paraId="4F8ADD8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9330" w:type="dxa"/>
            <w:gridSpan w:val="4"/>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3269FE7">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b/>
                <w:i w:val="0"/>
                <w:strike w:val="0"/>
                <w:color w:val="000000"/>
                <w:spacing w:val="0"/>
                <w:sz w:val="21"/>
                <w:szCs w:val="21"/>
                <w:u w:val="none"/>
              </w:rPr>
              <w:t>供应链管理（20分）</w:t>
            </w:r>
          </w:p>
        </w:tc>
      </w:tr>
      <w:tr w14:paraId="7D8DAC4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30ADB778">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低碳材料管理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3BD26D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5713E34">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6</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8FFDBA2">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绿色建材认证60%+附碳标签3分；本地采购70%得3分</w:t>
            </w:r>
          </w:p>
        </w:tc>
      </w:tr>
      <w:tr w14:paraId="6F3B6F6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4527F864">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低碳供应商管理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523A12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E99DC5E">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3</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50CF987">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核心供应商降碳10%，</w:t>
            </w:r>
            <w:r>
              <w:rPr>
                <w:rFonts w:hint="eastAsia" w:ascii="宋体" w:hAnsi="宋体" w:eastAsia="宋体" w:cs="宋体"/>
                <w:i w:val="0"/>
                <w:strike w:val="0"/>
                <w:color w:val="000000"/>
                <w:spacing w:val="0"/>
                <w:sz w:val="21"/>
                <w:szCs w:val="21"/>
                <w:u w:val="none"/>
                <w:lang w:eastAsia="zh-CN"/>
              </w:rPr>
              <w:t>缺</w:t>
            </w:r>
            <w:r>
              <w:rPr>
                <w:rFonts w:hint="default" w:ascii="宋体" w:hAnsi="宋体" w:eastAsia="宋体" w:cs="宋体"/>
                <w:i w:val="0"/>
                <w:strike w:val="0"/>
                <w:color w:val="000000"/>
                <w:spacing w:val="0"/>
                <w:sz w:val="21"/>
                <w:szCs w:val="21"/>
                <w:u w:val="none"/>
              </w:rPr>
              <w:t>清单扣1分得1分；缺条款扣1分得2分</w:t>
            </w:r>
          </w:p>
        </w:tc>
      </w:tr>
      <w:tr w14:paraId="1C34EAF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380D5635">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运输仓储低碳管控</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ADDE940">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39DFBCB">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3</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14879AE">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新能源运输55%得3分；仓储距4km部分设施未达标扣2分</w:t>
            </w:r>
          </w:p>
        </w:tc>
      </w:tr>
      <w:tr w14:paraId="74628F8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7235FDA7">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供应链台账追溯</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6F75C1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3</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AEC5A7C">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3</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F507A2A">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全流程台账完整可追溯，得3分</w:t>
            </w:r>
          </w:p>
        </w:tc>
      </w:tr>
      <w:tr w14:paraId="51FEE578">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9BDC5E8">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评分项总得分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5E7A091">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4004EEB">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72.5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B627A81">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碳排放：总碳排放量约30万kgCO</w:t>
            </w:r>
            <w:r>
              <w:rPr>
                <w:rFonts w:hint="default" w:ascii="Cambria Math" w:hAnsi="Cambria Math" w:cs="Cambria Math"/>
                <w:i w:val="0"/>
                <w:strike w:val="0"/>
                <w:color w:val="000000"/>
                <w:spacing w:val="0"/>
                <w:sz w:val="21"/>
                <w:szCs w:val="21"/>
                <w:u w:val="none"/>
              </w:rPr>
              <w:t>₂</w:t>
            </w:r>
            <w:r>
              <w:rPr>
                <w:rFonts w:hint="default" w:ascii="宋体" w:hAnsi="宋体" w:eastAsia="宋体" w:cs="宋体"/>
                <w:i w:val="0"/>
                <w:strike w:val="0"/>
                <w:color w:val="000000"/>
                <w:spacing w:val="0"/>
                <w:sz w:val="21"/>
                <w:szCs w:val="21"/>
                <w:u w:val="none"/>
              </w:rPr>
              <w:t>e，碳排放强度约10 kgCO</w:t>
            </w:r>
            <w:r>
              <w:rPr>
                <w:rFonts w:hint="default" w:ascii="Cambria Math" w:hAnsi="Cambria Math" w:cs="Cambria Math"/>
                <w:i w:val="0"/>
                <w:strike w:val="0"/>
                <w:color w:val="000000"/>
                <w:spacing w:val="0"/>
                <w:sz w:val="21"/>
                <w:szCs w:val="21"/>
                <w:u w:val="none"/>
              </w:rPr>
              <w:t>₂</w:t>
            </w:r>
            <w:r>
              <w:rPr>
                <w:rFonts w:hint="default" w:ascii="宋体" w:hAnsi="宋体" w:eastAsia="宋体" w:cs="宋体"/>
                <w:i w:val="0"/>
                <w:strike w:val="0"/>
                <w:color w:val="000000"/>
                <w:spacing w:val="0"/>
                <w:sz w:val="21"/>
                <w:szCs w:val="21"/>
                <w:u w:val="none"/>
              </w:rPr>
              <w:t>e/m²（满足5&lt;强度≤16要求）</w:t>
            </w:r>
          </w:p>
        </w:tc>
      </w:tr>
    </w:tbl>
    <w:p w14:paraId="088AB8F9">
      <w:pPr>
        <w:snapToGrid/>
        <w:spacing w:before="60" w:after="0" w:line="240" w:lineRule="auto"/>
        <w:ind w:left="0" w:right="0"/>
      </w:pPr>
      <w:r>
        <w:rPr>
          <w:rFonts w:ascii="宋体" w:hAnsi="宋体" w:eastAsia="宋体" w:cs="宋体"/>
          <w:i w:val="0"/>
          <w:strike w:val="0"/>
          <w:color w:val="000000"/>
          <w:sz w:val="20"/>
          <w:u w:val="none"/>
        </w:rPr>
        <w:t> </w:t>
      </w:r>
    </w:p>
    <w:p w14:paraId="0FCB00F4">
      <w:pPr>
        <w:bidi w:val="0"/>
        <w:rPr>
          <w:sz w:val="24"/>
          <w:szCs w:val="24"/>
        </w:rPr>
      </w:pPr>
      <w:bookmarkStart w:id="73" w:name="_Tocw11vii"/>
      <w:r>
        <w:rPr>
          <w:sz w:val="24"/>
          <w:szCs w:val="24"/>
        </w:rPr>
        <w:t>（3）达标难易程度评估</w:t>
      </w:r>
      <w:bookmarkEnd w:id="73"/>
    </w:p>
    <w:tbl>
      <w:tblPr>
        <w:tblStyle w:val="16"/>
        <w:tblW w:w="9345" w:type="dxa"/>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2322"/>
        <w:gridCol w:w="1767"/>
        <w:gridCol w:w="5256"/>
      </w:tblGrid>
      <w:tr w14:paraId="6DB0C3E5">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32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25EC901B">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评估维度</w:t>
            </w:r>
          </w:p>
        </w:tc>
        <w:tc>
          <w:tcPr>
            <w:tcW w:w="1767"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A96B0D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难度</w:t>
            </w:r>
          </w:p>
        </w:tc>
        <w:tc>
          <w:tcPr>
            <w:tcW w:w="5256"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014116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具体说明</w:t>
            </w:r>
          </w:p>
        </w:tc>
      </w:tr>
      <w:tr w14:paraId="6DFA2DC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322"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5DED4366">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综合难度</w:t>
            </w:r>
          </w:p>
        </w:tc>
        <w:tc>
          <w:tcPr>
            <w:tcW w:w="1767"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5EF9F35">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★★☆☆☆（较易）</w:t>
            </w:r>
          </w:p>
        </w:tc>
        <w:tc>
          <w:tcPr>
            <w:tcW w:w="5256"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97921E5">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综合评价：主要壁垒在于施工过程的精细化管理和干法施工工艺的全面推行，数字化台账体系建设需要一定投入，但总体技术难度不高，国内多数施工企业通过努力可达。</w:t>
            </w:r>
          </w:p>
        </w:tc>
      </w:tr>
      <w:tr w14:paraId="3757F23E">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322"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4E41CD2F">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相对易达标项</w:t>
            </w:r>
          </w:p>
        </w:tc>
        <w:tc>
          <w:tcPr>
            <w:tcW w:w="1767"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3DCC815">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w:t>
            </w:r>
          </w:p>
        </w:tc>
        <w:tc>
          <w:tcPr>
            <w:tcW w:w="5256"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7B1DA0E">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无需100%绿电，80%绿电覆盖即可满足大部分得分要求</w:t>
            </w:r>
          </w:p>
          <w:p w14:paraId="736CDEC0">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电动化替代率60%即可，对燃油设备保留容忍度</w:t>
            </w:r>
          </w:p>
          <w:p w14:paraId="547D7619">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绿色建材认证60%、本地采购70%均为行业常见水平</w:t>
            </w:r>
          </w:p>
          <w:p w14:paraId="77FD16BF">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光伏系统安装即可得分，独立计量要求不严</w:t>
            </w:r>
          </w:p>
        </w:tc>
      </w:tr>
      <w:tr w14:paraId="0E1EB72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322"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3A7EE424">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核心难点</w:t>
            </w:r>
          </w:p>
        </w:tc>
        <w:tc>
          <w:tcPr>
            <w:tcW w:w="1767"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D05520B">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w:t>
            </w:r>
          </w:p>
        </w:tc>
        <w:tc>
          <w:tcPr>
            <w:tcW w:w="5256"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F34B6EA">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施工过程碳管控（11/15）：需建立完善的能源分项计量台账和碳排放月报体系，数字化能力有一定门槛</w:t>
            </w:r>
          </w:p>
          <w:p w14:paraId="6EDC7FB1">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分部分项低碳施工（10/15）：湿作业≤20%为最大难点，需全面推行干法施工，对传统施工工艺有较大颠覆</w:t>
            </w:r>
          </w:p>
          <w:p w14:paraId="6F12C903">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废弃物回收率≥60%：需建立完善的垃圾分类和资源化利用体系</w:t>
            </w:r>
          </w:p>
        </w:tc>
      </w:tr>
      <w:tr w14:paraId="6269602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322"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650DDF27">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达标缺口分析</w:t>
            </w:r>
          </w:p>
        </w:tc>
        <w:tc>
          <w:tcPr>
            <w:tcW w:w="1767"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FD4379D">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w:t>
            </w:r>
          </w:p>
        </w:tc>
        <w:tc>
          <w:tcPr>
            <w:tcW w:w="5256"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B4BBB99">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距80分中等水平有7分余量，距85分有12分差距，主要失分在过程管控和分部分项施工工艺。</w:t>
            </w:r>
          </w:p>
        </w:tc>
      </w:tr>
    </w:tbl>
    <w:p w14:paraId="6EE2E5BF">
      <w:pPr>
        <w:snapToGrid/>
        <w:spacing w:before="60" w:after="0" w:line="240" w:lineRule="auto"/>
        <w:ind w:left="0" w:right="0"/>
      </w:pPr>
      <w:r>
        <w:rPr>
          <w:rFonts w:ascii="宋体" w:hAnsi="宋体" w:eastAsia="宋体" w:cs="宋体"/>
          <w:i w:val="0"/>
          <w:strike w:val="0"/>
          <w:color w:val="000000"/>
          <w:sz w:val="20"/>
          <w:u w:val="none"/>
        </w:rPr>
        <w:t> </w:t>
      </w:r>
    </w:p>
    <w:p w14:paraId="7BE66426">
      <w:pPr>
        <w:snapToGrid/>
        <w:spacing w:before="40" w:after="40" w:line="360" w:lineRule="auto"/>
        <w:ind w:left="0" w:right="0"/>
        <w:rPr>
          <w:sz w:val="24"/>
          <w:szCs w:val="24"/>
        </w:rPr>
      </w:pPr>
      <w:r>
        <w:rPr>
          <w:rFonts w:ascii="宋体" w:hAnsi="宋体" w:eastAsia="宋体" w:cs="宋体"/>
          <w:i w:val="0"/>
          <w:strike w:val="0"/>
          <w:color w:val="000000"/>
          <w:sz w:val="24"/>
          <w:szCs w:val="24"/>
          <w:u w:val="none"/>
        </w:rPr>
        <w:t>评分项总得分72.5分，满足70≤总分&lt;85；碳排放强度10 kgCO</w:t>
      </w:r>
      <w:r>
        <w:rPr>
          <w:rFonts w:ascii="Cambria Math" w:hAnsi="Cambria Math" w:cs="Cambria Math"/>
          <w:i w:val="0"/>
          <w:strike w:val="0"/>
          <w:color w:val="000000"/>
          <w:sz w:val="24"/>
          <w:szCs w:val="24"/>
          <w:u w:val="none"/>
        </w:rPr>
        <w:t>₂</w:t>
      </w:r>
      <w:r>
        <w:rPr>
          <w:rFonts w:ascii="宋体" w:hAnsi="宋体" w:eastAsia="宋体" w:cs="宋体"/>
          <w:i w:val="0"/>
          <w:strike w:val="0"/>
          <w:color w:val="000000"/>
          <w:sz w:val="24"/>
          <w:szCs w:val="24"/>
          <w:u w:val="none"/>
        </w:rPr>
        <w:t>e/m²，满足5&lt;强度≤16。一级，低碳施工。</w:t>
      </w:r>
    </w:p>
    <w:p w14:paraId="2B9F5D04">
      <w:pPr>
        <w:snapToGrid/>
        <w:spacing w:before="80" w:after="0" w:line="240" w:lineRule="auto"/>
        <w:ind w:left="0" w:right="0"/>
      </w:pPr>
      <w:r>
        <w:rPr>
          <w:rFonts w:ascii="宋体" w:hAnsi="宋体" w:eastAsia="宋体" w:cs="宋体"/>
          <w:i w:val="0"/>
          <w:strike w:val="0"/>
          <w:color w:val="000000"/>
          <w:sz w:val="20"/>
          <w:u w:val="none"/>
        </w:rPr>
        <w:t> </w:t>
      </w:r>
    </w:p>
    <w:p w14:paraId="5C8633F1">
      <w:pPr>
        <w:pStyle w:val="3"/>
        <w:snapToGrid/>
        <w:spacing w:before="0" w:after="0" w:line="240" w:lineRule="auto"/>
        <w:ind w:left="992" w:right="0" w:hanging="567"/>
        <w:rPr>
          <w:rFonts w:hint="eastAsia" w:ascii="黑体" w:hAnsi="黑体" w:eastAsia="黑体" w:cs="黑体"/>
          <w:i w:val="0"/>
          <w:strike w:val="0"/>
          <w:color w:val="auto"/>
          <w:sz w:val="28"/>
          <w:szCs w:val="28"/>
          <w:u w:val="none"/>
        </w:rPr>
      </w:pPr>
      <w:bookmarkStart w:id="74" w:name="_Toc4592"/>
      <w:bookmarkStart w:id="75" w:name="_Tocow7sc4"/>
      <w:r>
        <w:rPr>
          <w:rFonts w:hint="eastAsia" w:ascii="黑体" w:hAnsi="黑体" w:eastAsia="黑体" w:cs="黑体"/>
          <w:i w:val="0"/>
          <w:strike w:val="0"/>
          <w:color w:val="auto"/>
          <w:sz w:val="28"/>
          <w:szCs w:val="28"/>
          <w:u w:val="none"/>
        </w:rPr>
        <w:t>A.0.</w:t>
      </w:r>
      <w:r>
        <w:rPr>
          <w:rFonts w:hint="eastAsia" w:ascii="黑体" w:hAnsi="黑体" w:cs="黑体"/>
          <w:i w:val="0"/>
          <w:strike w:val="0"/>
          <w:color w:val="auto"/>
          <w:sz w:val="28"/>
          <w:szCs w:val="28"/>
          <w:u w:val="none"/>
          <w:lang w:val="en-US" w:eastAsia="zh-CN"/>
        </w:rPr>
        <w:t xml:space="preserve">2 </w:t>
      </w:r>
      <w:r>
        <w:rPr>
          <w:rFonts w:hint="eastAsia" w:ascii="黑体" w:hAnsi="黑体" w:eastAsia="黑体" w:cs="黑体"/>
          <w:i w:val="0"/>
          <w:strike w:val="0"/>
          <w:color w:val="auto"/>
          <w:sz w:val="28"/>
          <w:szCs w:val="28"/>
          <w:u w:val="none"/>
        </w:rPr>
        <w:t>场景二详细打分——近零碳施工（二级）</w:t>
      </w:r>
      <w:bookmarkEnd w:id="74"/>
      <w:bookmarkEnd w:id="75"/>
    </w:p>
    <w:p w14:paraId="4043442D">
      <w:pPr>
        <w:bidi w:val="0"/>
        <w:rPr>
          <w:rFonts w:hint="eastAsia" w:ascii="宋体" w:hAnsi="宋体" w:eastAsia="宋体" w:cs="宋体"/>
          <w:sz w:val="24"/>
          <w:szCs w:val="24"/>
        </w:rPr>
      </w:pPr>
      <w:bookmarkStart w:id="76" w:name="_Tocrbqqh6"/>
      <w:r>
        <w:rPr>
          <w:rFonts w:hint="eastAsia" w:ascii="宋体" w:hAnsi="宋体" w:eastAsia="宋体" w:cs="宋体"/>
          <w:sz w:val="24"/>
          <w:szCs w:val="24"/>
        </w:rPr>
        <w:t>（1）场景条件</w:t>
      </w:r>
      <w:bookmarkEnd w:id="76"/>
    </w:p>
    <w:p w14:paraId="08FAE9CA">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项目类型：市政综合体，建筑面积2万m²，EPC总承包</w:t>
      </w:r>
    </w:p>
    <w:p w14:paraId="7EB0A21D">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施工管理：全员零碳培训，数字化平台，绿电全覆盖（1次应急扣5分）</w:t>
      </w:r>
    </w:p>
    <w:p w14:paraId="158C4B57">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施工技术：装配式深度应用，BIM全覆盖，光伏+热泵双配置</w:t>
      </w:r>
    </w:p>
    <w:p w14:paraId="656DB460">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供应链：季度绩效评估，绿色建材75%，本地采购88%</w:t>
      </w:r>
    </w:p>
    <w:p w14:paraId="6C779334">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碳排放：约3 kgCO₂e/m²（含5%碳汇抵消），满足0&lt;强度≤5</w:t>
      </w:r>
    </w:p>
    <w:p w14:paraId="094CE537">
      <w:pPr>
        <w:snapToGrid/>
        <w:spacing w:before="60" w:after="0" w:line="240" w:lineRule="auto"/>
        <w:ind w:left="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 </w:t>
      </w:r>
    </w:p>
    <w:p w14:paraId="6A27ED8E">
      <w:pPr>
        <w:bidi w:val="0"/>
        <w:rPr>
          <w:rFonts w:hint="eastAsia" w:ascii="宋体" w:hAnsi="宋体" w:eastAsia="宋体" w:cs="宋体"/>
          <w:sz w:val="24"/>
          <w:szCs w:val="24"/>
        </w:rPr>
      </w:pPr>
      <w:bookmarkStart w:id="77" w:name="_Tockg8zz2"/>
      <w:r>
        <w:rPr>
          <w:rFonts w:hint="eastAsia" w:ascii="宋体" w:hAnsi="宋体" w:eastAsia="宋体" w:cs="宋体"/>
          <w:sz w:val="24"/>
          <w:szCs w:val="24"/>
        </w:rPr>
        <w:t>（2）逐项评分（87.5分）</w:t>
      </w:r>
      <w:bookmarkEnd w:id="77"/>
    </w:p>
    <w:tbl>
      <w:tblPr>
        <w:tblStyle w:val="16"/>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2400"/>
        <w:gridCol w:w="690"/>
        <w:gridCol w:w="690"/>
        <w:gridCol w:w="5550"/>
      </w:tblGrid>
      <w:tr w14:paraId="43FB39B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2D7F295D">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评估子项</w:t>
            </w:r>
          </w:p>
        </w:tc>
        <w:tc>
          <w:tcPr>
            <w:tcW w:w="690"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BC49AEB">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满分</w:t>
            </w:r>
          </w:p>
        </w:tc>
        <w:tc>
          <w:tcPr>
            <w:tcW w:w="690"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6DE97C8">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得分</w:t>
            </w:r>
          </w:p>
        </w:tc>
        <w:tc>
          <w:tcPr>
            <w:tcW w:w="5550"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56355A4">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情景说明（施工措施 &amp; 判分逻辑）</w:t>
            </w:r>
          </w:p>
        </w:tc>
      </w:tr>
      <w:tr w14:paraId="47F3E6D8">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9330" w:type="dxa"/>
            <w:gridSpan w:val="4"/>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351234FF">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b/>
                <w:i w:val="0"/>
                <w:strike w:val="0"/>
                <w:color w:val="000000"/>
                <w:spacing w:val="0"/>
                <w:sz w:val="21"/>
                <w:szCs w:val="21"/>
                <w:u w:val="none"/>
              </w:rPr>
              <w:t>施工管理（45分）</w:t>
            </w:r>
          </w:p>
        </w:tc>
      </w:tr>
      <w:tr w14:paraId="67CD5E6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6E18F99C">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施工前期策划</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07CEE0E">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686CC96">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59EFE06">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方案含目标+责任矩阵+监理审查4分；全员培训+考核3分；平台数据采集共享3分</w:t>
            </w:r>
          </w:p>
        </w:tc>
      </w:tr>
      <w:tr w14:paraId="1774175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38343C44">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施工过程碳管控</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36A116D">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DA52080">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13</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FEABBC3">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80%绿电但应急扣2分得4分；电动化率85%得5分；分项台账+月报4分</w:t>
            </w:r>
          </w:p>
        </w:tc>
      </w:tr>
      <w:tr w14:paraId="6A2F140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0F36402">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施工后期管理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63913F1">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B036163">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9</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EA8AAEE">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竣工核查+报告4分；废弃物回收率72%得3分；电子化82%但留存年限不明扣1分得2分</w:t>
            </w:r>
          </w:p>
        </w:tc>
      </w:tr>
      <w:tr w14:paraId="08EA96A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6F5B7728">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安全应急协同</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142EDF4">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DA8BB4B">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6B0CF2C">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预案备案4分；年度演练+深度复盘3分；无事故+碳补偿预案机制3分</w:t>
            </w:r>
          </w:p>
        </w:tc>
      </w:tr>
      <w:tr w14:paraId="14A84762">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9330" w:type="dxa"/>
            <w:gridSpan w:val="4"/>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577483E1">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b/>
                <w:i w:val="0"/>
                <w:strike w:val="0"/>
                <w:color w:val="000000"/>
                <w:spacing w:val="0"/>
                <w:sz w:val="21"/>
                <w:szCs w:val="21"/>
                <w:u w:val="none"/>
              </w:rPr>
              <w:t>施工技术（35分）</w:t>
            </w:r>
          </w:p>
        </w:tc>
      </w:tr>
      <w:tr w14:paraId="4F1CAE4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4054FC26">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施工准备低碳技术</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C329918">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8</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572ED53">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7CA883E">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土方平衡率60%得3分；装配率88%+周转10次得3分；绿电全覆盖但局部计量缺失扣1分得1分</w:t>
            </w:r>
          </w:p>
        </w:tc>
      </w:tr>
      <w:tr w14:paraId="184C965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5FFDA5B5">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分部分项低碳施工</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D285CB8">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AEF5921">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12.5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666BEDD">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钢支撑20次+再生骨料</w:t>
            </w:r>
            <w:r>
              <w:rPr>
                <w:rFonts w:hint="eastAsia" w:ascii="宋体" w:hAnsi="宋体" w:eastAsia="宋体" w:cs="宋体"/>
                <w:i w:val="0"/>
                <w:strike w:val="0"/>
                <w:color w:val="000000"/>
                <w:spacing w:val="0"/>
                <w:sz w:val="21"/>
                <w:szCs w:val="21"/>
                <w:u w:val="none"/>
              </w:rPr>
              <w:t>25</w:t>
            </w:r>
            <w:r>
              <w:rPr>
                <w:rFonts w:hint="default" w:ascii="宋体" w:hAnsi="宋体" w:eastAsia="宋体" w:cs="宋体"/>
                <w:i w:val="0"/>
                <w:strike w:val="0"/>
                <w:color w:val="000000"/>
                <w:spacing w:val="0"/>
                <w:sz w:val="21"/>
                <w:szCs w:val="21"/>
                <w:u w:val="none"/>
              </w:rPr>
              <w:t>%得5分；干法80%湿作业20%,得5分；BIM+预制45%得2.5分</w:t>
            </w:r>
          </w:p>
        </w:tc>
      </w:tr>
      <w:tr w14:paraId="1431EB5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6462CA8A">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材料循环利用</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0ADA345">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786F33D">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BFE8597">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模板30次+周转材料50次得3分；再生建材达标+检测报告齐全得4分</w:t>
            </w:r>
          </w:p>
        </w:tc>
      </w:tr>
      <w:tr w14:paraId="38CA52E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53290268">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可再生能源应用</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EBC8EAB">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E68DF6E">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BC33A01">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光伏+热泵双系统+独立计量完整，得5分</w:t>
            </w:r>
          </w:p>
        </w:tc>
      </w:tr>
      <w:tr w14:paraId="019881F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9330" w:type="dxa"/>
            <w:gridSpan w:val="4"/>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CB4292D">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b/>
                <w:i w:val="0"/>
                <w:strike w:val="0"/>
                <w:color w:val="000000"/>
                <w:spacing w:val="0"/>
                <w:sz w:val="21"/>
                <w:szCs w:val="21"/>
                <w:u w:val="none"/>
              </w:rPr>
              <w:t>供应链管理（20分）</w:t>
            </w:r>
          </w:p>
        </w:tc>
      </w:tr>
      <w:tr w14:paraId="78E4B98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3795D892">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低碳材料管理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E29B379">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A5B6D1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690273F">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绿色建材认证75%+附碳标签3分；本地50km内采购88%得4分</w:t>
            </w:r>
          </w:p>
        </w:tc>
      </w:tr>
      <w:tr w14:paraId="0993B664">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6F9D49F">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低碳供应商管理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DB2CC72">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75F6EB3">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4</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5ED5822">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准入清单+核心供应商降碳12%得2分；季度评估+合同条款但深度不足扣1分得2分</w:t>
            </w:r>
          </w:p>
        </w:tc>
      </w:tr>
      <w:tr w14:paraId="300E75D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F4BF61C">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运输仓储低碳管控</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151D6F8">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A642142">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70A5FCC">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新能源运输62%得3分；仓储距3km+节能设施完整得2分</w:t>
            </w:r>
          </w:p>
        </w:tc>
      </w:tr>
      <w:tr w14:paraId="6E9FB37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8A1829F">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供应链台账追溯</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8537047">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3</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37CA216">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3</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E6D912A">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全流程台账完整可追溯，得3分</w:t>
            </w:r>
          </w:p>
        </w:tc>
      </w:tr>
      <w:tr w14:paraId="0E30F7E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573E5768">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负面扣分（常规）</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FDE93B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5DF7048">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EE6364D">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无一票否决情形；偶发1次非应急柴油机使用，扣5分（表中为扣分后净分）</w:t>
            </w:r>
          </w:p>
        </w:tc>
      </w:tr>
      <w:tr w14:paraId="21F2C25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83899AD">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评分项总得分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BDAE722">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FA7D051">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87.5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C8BCE96">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碳排放：总碳排放量约6kgCO</w:t>
            </w:r>
            <w:r>
              <w:rPr>
                <w:rFonts w:hint="default" w:ascii="Cambria Math" w:hAnsi="Cambria Math" w:cs="Cambria Math"/>
                <w:i w:val="0"/>
                <w:strike w:val="0"/>
                <w:color w:val="000000"/>
                <w:spacing w:val="0"/>
                <w:sz w:val="21"/>
                <w:szCs w:val="21"/>
                <w:u w:val="none"/>
              </w:rPr>
              <w:t>₂</w:t>
            </w:r>
            <w:r>
              <w:rPr>
                <w:rFonts w:hint="default" w:ascii="宋体" w:hAnsi="宋体" w:eastAsia="宋体" w:cs="宋体"/>
                <w:i w:val="0"/>
                <w:strike w:val="0"/>
                <w:color w:val="000000"/>
                <w:spacing w:val="0"/>
                <w:sz w:val="21"/>
                <w:szCs w:val="21"/>
                <w:u w:val="none"/>
              </w:rPr>
              <w:t>e/m²</w:t>
            </w:r>
            <w:r>
              <w:rPr>
                <w:rFonts w:hint="eastAsia" w:ascii="宋体" w:hAnsi="宋体" w:eastAsia="宋体" w:cs="宋体"/>
                <w:i w:val="0"/>
                <w:strike w:val="0"/>
                <w:color w:val="000000"/>
                <w:spacing w:val="0"/>
                <w:sz w:val="21"/>
                <w:szCs w:val="21"/>
                <w:u w:val="none"/>
              </w:rPr>
              <w:t>,</w:t>
            </w:r>
            <w:r>
              <w:rPr>
                <w:rFonts w:hint="default" w:ascii="宋体" w:hAnsi="宋体" w:eastAsia="宋体" w:cs="宋体"/>
                <w:i w:val="0"/>
                <w:strike w:val="0"/>
                <w:color w:val="000000"/>
                <w:spacing w:val="0"/>
                <w:sz w:val="21"/>
                <w:szCs w:val="21"/>
                <w:u w:val="none"/>
              </w:rPr>
              <w:t>碳汇抵消</w:t>
            </w:r>
            <w:r>
              <w:rPr>
                <w:rFonts w:hint="eastAsia" w:ascii="宋体" w:hAnsi="宋体" w:eastAsia="宋体" w:cs="宋体"/>
                <w:i w:val="0"/>
                <w:strike w:val="0"/>
                <w:color w:val="000000"/>
                <w:spacing w:val="0"/>
                <w:sz w:val="21"/>
                <w:szCs w:val="21"/>
                <w:u w:val="none"/>
              </w:rPr>
              <w:t xml:space="preserve"> 1</w:t>
            </w:r>
            <w:r>
              <w:rPr>
                <w:rFonts w:hint="default" w:ascii="宋体" w:hAnsi="宋体" w:eastAsia="宋体" w:cs="宋体"/>
                <w:i w:val="0"/>
                <w:strike w:val="0"/>
                <w:color w:val="000000"/>
                <w:spacing w:val="0"/>
                <w:sz w:val="21"/>
                <w:szCs w:val="21"/>
                <w:u w:val="none"/>
              </w:rPr>
              <w:t>kgCO</w:t>
            </w:r>
            <w:r>
              <w:rPr>
                <w:rFonts w:hint="default" w:ascii="Cambria Math" w:hAnsi="Cambria Math" w:cs="Cambria Math"/>
                <w:i w:val="0"/>
                <w:strike w:val="0"/>
                <w:color w:val="000000"/>
                <w:spacing w:val="0"/>
                <w:sz w:val="21"/>
                <w:szCs w:val="21"/>
                <w:u w:val="none"/>
              </w:rPr>
              <w:t>₂</w:t>
            </w:r>
            <w:r>
              <w:rPr>
                <w:rFonts w:hint="default" w:ascii="宋体" w:hAnsi="宋体" w:eastAsia="宋体" w:cs="宋体"/>
                <w:i w:val="0"/>
                <w:strike w:val="0"/>
                <w:color w:val="000000"/>
                <w:spacing w:val="0"/>
                <w:sz w:val="21"/>
                <w:szCs w:val="21"/>
                <w:u w:val="none"/>
              </w:rPr>
              <w:t>e/m²，碳排放强度约</w:t>
            </w:r>
            <w:r>
              <w:rPr>
                <w:rFonts w:hint="eastAsia" w:ascii="宋体" w:hAnsi="宋体" w:eastAsia="宋体" w:cs="宋体"/>
                <w:i w:val="0"/>
                <w:strike w:val="0"/>
                <w:color w:val="000000"/>
                <w:spacing w:val="0"/>
                <w:sz w:val="21"/>
                <w:szCs w:val="21"/>
                <w:u w:val="none"/>
              </w:rPr>
              <w:t xml:space="preserve"> 5</w:t>
            </w:r>
            <w:r>
              <w:rPr>
                <w:rFonts w:hint="default" w:ascii="宋体" w:hAnsi="宋体" w:eastAsia="宋体" w:cs="宋体"/>
                <w:i w:val="0"/>
                <w:strike w:val="0"/>
                <w:color w:val="000000"/>
                <w:spacing w:val="0"/>
                <w:sz w:val="21"/>
                <w:szCs w:val="21"/>
                <w:u w:val="none"/>
              </w:rPr>
              <w:t>kgCO</w:t>
            </w:r>
            <w:r>
              <w:rPr>
                <w:rFonts w:hint="default" w:ascii="Cambria Math" w:hAnsi="Cambria Math" w:cs="Cambria Math"/>
                <w:i w:val="0"/>
                <w:strike w:val="0"/>
                <w:color w:val="000000"/>
                <w:spacing w:val="0"/>
                <w:sz w:val="21"/>
                <w:szCs w:val="21"/>
                <w:u w:val="none"/>
              </w:rPr>
              <w:t>₂</w:t>
            </w:r>
            <w:r>
              <w:rPr>
                <w:rFonts w:hint="default" w:ascii="宋体" w:hAnsi="宋体" w:eastAsia="宋体" w:cs="宋体"/>
                <w:i w:val="0"/>
                <w:strike w:val="0"/>
                <w:color w:val="000000"/>
                <w:spacing w:val="0"/>
                <w:sz w:val="21"/>
                <w:szCs w:val="21"/>
                <w:u w:val="none"/>
              </w:rPr>
              <w:t>e/m²（满足0&lt;强度≤5）</w:t>
            </w:r>
          </w:p>
        </w:tc>
      </w:tr>
    </w:tbl>
    <w:p w14:paraId="6117F432">
      <w:pPr>
        <w:snapToGrid/>
        <w:spacing w:before="60" w:after="0" w:line="240" w:lineRule="auto"/>
        <w:ind w:left="0" w:right="0"/>
      </w:pPr>
      <w:r>
        <w:rPr>
          <w:rFonts w:ascii="宋体" w:hAnsi="宋体" w:eastAsia="宋体" w:cs="宋体"/>
          <w:i w:val="0"/>
          <w:strike w:val="0"/>
          <w:color w:val="000000"/>
          <w:sz w:val="20"/>
          <w:u w:val="none"/>
        </w:rPr>
        <w:t> </w:t>
      </w:r>
    </w:p>
    <w:p w14:paraId="16D4B779">
      <w:pPr>
        <w:bidi w:val="0"/>
        <w:rPr>
          <w:rFonts w:hint="eastAsia" w:ascii="宋体" w:hAnsi="宋体" w:eastAsia="宋体" w:cs="宋体"/>
          <w:sz w:val="24"/>
          <w:szCs w:val="24"/>
        </w:rPr>
      </w:pPr>
      <w:bookmarkStart w:id="78" w:name="_Toc6aumhs"/>
      <w:r>
        <w:rPr>
          <w:rFonts w:hint="eastAsia" w:ascii="宋体" w:hAnsi="宋体" w:eastAsia="宋体" w:cs="宋体"/>
          <w:sz w:val="24"/>
          <w:szCs w:val="24"/>
        </w:rPr>
        <w:t>（3）达标难易程度评估</w:t>
      </w:r>
      <w:bookmarkEnd w:id="78"/>
    </w:p>
    <w:tbl>
      <w:tblPr>
        <w:tblStyle w:val="16"/>
        <w:tblW w:w="9345" w:type="dxa"/>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1339"/>
        <w:gridCol w:w="1125"/>
        <w:gridCol w:w="6881"/>
      </w:tblGrid>
      <w:tr w14:paraId="312A1BC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133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D0287C4">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评估维度</w:t>
            </w:r>
          </w:p>
        </w:tc>
        <w:tc>
          <w:tcPr>
            <w:tcW w:w="1125"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661C734">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难度</w:t>
            </w:r>
          </w:p>
        </w:tc>
        <w:tc>
          <w:tcPr>
            <w:tcW w:w="6881"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B9B8104">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具体说明</w:t>
            </w:r>
          </w:p>
        </w:tc>
      </w:tr>
      <w:tr w14:paraId="7ACA04AE">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1339"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8EE345B">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综合难度</w:t>
            </w:r>
          </w:p>
        </w:tc>
        <w:tc>
          <w:tcPr>
            <w:tcW w:w="1125"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469901E">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★★★★☆（较难）</w:t>
            </w:r>
          </w:p>
        </w:tc>
        <w:tc>
          <w:tcPr>
            <w:tcW w:w="6881"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6A95E94">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综合评价：核心壁垒在于绿电全覆盖管控（一次违规即-5分）和干法施工比例达标。绿电供应稳定性、本地电网接入条件是前提；干法施工工艺要求设计-施工全流程协同，对传统作业方式有根本性挑战。此外，偶发柴油机扣分机制极为严苛，需建立严格的设备管控流程。</w:t>
            </w:r>
          </w:p>
        </w:tc>
      </w:tr>
      <w:tr w14:paraId="15783A6E">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1339"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58F6C263">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相对易达标项</w:t>
            </w:r>
          </w:p>
        </w:tc>
        <w:tc>
          <w:tcPr>
            <w:tcW w:w="1125"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037077B">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w:t>
            </w:r>
          </w:p>
        </w:tc>
        <w:tc>
          <w:tcPr>
            <w:tcW w:w="6881"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5305E2F">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施工前期策划满分相对容易，只需方案完整+培训考核+平台搭建到位</w:t>
            </w:r>
          </w:p>
          <w:p w14:paraId="32CC63AD">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数字化平台和碳排放监测体系已有基础，可延续升级</w:t>
            </w:r>
          </w:p>
          <w:p w14:paraId="1B52E2F5">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供应链管理（19/20）可接近满分，本地采购和新能源运输是加分项</w:t>
            </w:r>
          </w:p>
          <w:p w14:paraId="1049D71F">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可再生能源（5/5）明确且可控，安装规范即可得满分</w:t>
            </w:r>
          </w:p>
        </w:tc>
      </w:tr>
      <w:tr w14:paraId="14950794">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1339"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33ACFBBF">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核心难点</w:t>
            </w:r>
          </w:p>
        </w:tc>
        <w:tc>
          <w:tcPr>
            <w:tcW w:w="1125"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ED708BA">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w:t>
            </w:r>
          </w:p>
        </w:tc>
        <w:tc>
          <w:tcPr>
            <w:tcW w:w="6881"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C7BF72A">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施工过程碳管控（13/15）：80%绿电是核心门槛，需80%区域接入绿电+严格管控柴油机应急使用（一次违规扣5分直接拉低等级），对能源管理要求极高</w:t>
            </w:r>
          </w:p>
          <w:p w14:paraId="6528186A">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分部分项低碳施工（13/15）：湿作业≤20%难以完全实现（目前场景二扣5分），装配式深化应用需设计端配合，BIM+预制率要求较高</w:t>
            </w:r>
          </w:p>
          <w:p w14:paraId="7F48FC4E">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电动化替代率≥80%：国内电动施工机械种类有限，大型设备完全替代存在技术瓶颈</w:t>
            </w:r>
          </w:p>
        </w:tc>
      </w:tr>
    </w:tbl>
    <w:p w14:paraId="2C8C7FF3">
      <w:pPr>
        <w:snapToGrid/>
        <w:spacing w:before="60" w:after="0" w:line="240" w:lineRule="auto"/>
        <w:ind w:left="0" w:right="0"/>
      </w:pPr>
      <w:r>
        <w:rPr>
          <w:rFonts w:ascii="宋体" w:hAnsi="宋体" w:eastAsia="宋体" w:cs="宋体"/>
          <w:i w:val="0"/>
          <w:strike w:val="0"/>
          <w:color w:val="000000"/>
          <w:sz w:val="20"/>
          <w:u w:val="none"/>
        </w:rPr>
        <w:t> </w:t>
      </w:r>
    </w:p>
    <w:p w14:paraId="704A61A6">
      <w:pPr>
        <w:snapToGrid/>
        <w:spacing w:before="40" w:after="40" w:line="360" w:lineRule="auto"/>
        <w:ind w:left="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评分项总得分：原始93分 - 常规扣分5分（柴油机应急） = 88分，满足85≤总分&lt;95；碳排放强度5 kgCO₂e/m²，满足0&lt;强度≤5。二级，近零碳施工。</w:t>
      </w:r>
    </w:p>
    <w:p w14:paraId="7EF3F73B">
      <w:pPr>
        <w:snapToGrid/>
        <w:spacing w:before="80" w:after="0" w:line="240" w:lineRule="auto"/>
        <w:ind w:left="0" w:right="0"/>
      </w:pPr>
      <w:r>
        <w:rPr>
          <w:rFonts w:ascii="宋体" w:hAnsi="宋体" w:eastAsia="宋体" w:cs="宋体"/>
          <w:i w:val="0"/>
          <w:strike w:val="0"/>
          <w:color w:val="000000"/>
          <w:sz w:val="20"/>
          <w:u w:val="none"/>
        </w:rPr>
        <w:t> </w:t>
      </w:r>
    </w:p>
    <w:p w14:paraId="0240B288">
      <w:pPr>
        <w:pStyle w:val="3"/>
        <w:snapToGrid/>
        <w:spacing w:before="0" w:after="0" w:line="240" w:lineRule="auto"/>
        <w:ind w:left="992" w:right="0" w:hanging="567"/>
        <w:rPr>
          <w:rFonts w:hint="eastAsia" w:ascii="黑体" w:hAnsi="黑体" w:eastAsia="黑体" w:cs="黑体"/>
          <w:i w:val="0"/>
          <w:strike w:val="0"/>
          <w:color w:val="auto"/>
          <w:sz w:val="28"/>
          <w:szCs w:val="28"/>
          <w:u w:val="none"/>
        </w:rPr>
      </w:pPr>
      <w:bookmarkStart w:id="79" w:name="_Tocflnsyl"/>
      <w:bookmarkStart w:id="80" w:name="_Toc25017"/>
      <w:r>
        <w:rPr>
          <w:rFonts w:hint="eastAsia" w:ascii="黑体" w:hAnsi="黑体" w:eastAsia="黑体" w:cs="黑体"/>
          <w:i w:val="0"/>
          <w:strike w:val="0"/>
          <w:color w:val="auto"/>
          <w:sz w:val="28"/>
          <w:szCs w:val="28"/>
          <w:u w:val="none"/>
        </w:rPr>
        <w:t>A.0.</w:t>
      </w:r>
      <w:r>
        <w:rPr>
          <w:rFonts w:hint="eastAsia" w:ascii="黑体" w:hAnsi="黑体" w:cs="黑体"/>
          <w:i w:val="0"/>
          <w:strike w:val="0"/>
          <w:color w:val="auto"/>
          <w:sz w:val="28"/>
          <w:szCs w:val="28"/>
          <w:u w:val="none"/>
          <w:lang w:val="en-US" w:eastAsia="zh-CN"/>
        </w:rPr>
        <w:t xml:space="preserve">3 </w:t>
      </w:r>
      <w:r>
        <w:rPr>
          <w:rFonts w:hint="eastAsia" w:ascii="黑体" w:hAnsi="黑体" w:eastAsia="黑体" w:cs="黑体"/>
          <w:i w:val="0"/>
          <w:strike w:val="0"/>
          <w:color w:val="auto"/>
          <w:sz w:val="28"/>
          <w:szCs w:val="28"/>
          <w:u w:val="none"/>
        </w:rPr>
        <w:t>场景三详细打分——零碳施工（三级）</w:t>
      </w:r>
      <w:bookmarkEnd w:id="79"/>
      <w:bookmarkEnd w:id="80"/>
    </w:p>
    <w:p w14:paraId="26AA1AE6">
      <w:pPr>
        <w:bidi w:val="0"/>
        <w:rPr>
          <w:rFonts w:hint="eastAsia" w:ascii="宋体" w:hAnsi="宋体" w:eastAsia="宋体" w:cs="宋体"/>
          <w:sz w:val="24"/>
          <w:szCs w:val="24"/>
        </w:rPr>
      </w:pPr>
      <w:bookmarkStart w:id="81" w:name="_Tocfdtjz0"/>
      <w:r>
        <w:rPr>
          <w:rFonts w:hint="eastAsia" w:ascii="宋体" w:hAnsi="宋体" w:eastAsia="宋体" w:cs="宋体"/>
          <w:sz w:val="24"/>
          <w:szCs w:val="24"/>
        </w:rPr>
        <w:t>（1）场景条件</w:t>
      </w:r>
      <w:bookmarkEnd w:id="81"/>
    </w:p>
    <w:p w14:paraId="1ECB2B68">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项目类型：低碳示范园区办公楼，建筑面积1.5万m²，绿色建造标杆</w:t>
      </w:r>
    </w:p>
    <w:p w14:paraId="18E7F162">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施工管理：数字孪生全程管控，100%绿电，零燃油，电动化率95%</w:t>
      </w:r>
    </w:p>
    <w:p w14:paraId="00F56A2F">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施工技术：再生骨料掺量≥20%，装配率85%，屋顶光伏+地源热泵</w:t>
      </w:r>
    </w:p>
    <w:p w14:paraId="1B4120D6">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供应链：动态准入+绩效激励，新能源运输80%，本地采购95%</w:t>
      </w:r>
    </w:p>
    <w:p w14:paraId="442E50AA">
      <w:pPr>
        <w:snapToGrid/>
        <w:spacing w:before="40" w:after="40" w:line="319" w:lineRule="auto"/>
        <w:ind w:left="36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碳排放：购买CCER/林业碳汇（8%），净碳排放≤0 kgCO₂e/m²</w:t>
      </w:r>
    </w:p>
    <w:p w14:paraId="72F232EC">
      <w:pPr>
        <w:snapToGrid/>
        <w:spacing w:before="60" w:after="0" w:line="240" w:lineRule="auto"/>
        <w:ind w:left="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 </w:t>
      </w:r>
    </w:p>
    <w:p w14:paraId="1E6F91D8">
      <w:pPr>
        <w:bidi w:val="0"/>
        <w:rPr>
          <w:rFonts w:hint="eastAsia" w:ascii="宋体" w:hAnsi="宋体" w:eastAsia="宋体" w:cs="宋体"/>
          <w:sz w:val="24"/>
          <w:szCs w:val="24"/>
        </w:rPr>
      </w:pPr>
      <w:bookmarkStart w:id="82" w:name="_Toc4ljbzw"/>
      <w:r>
        <w:rPr>
          <w:rFonts w:hint="eastAsia" w:ascii="宋体" w:hAnsi="宋体" w:eastAsia="宋体" w:cs="宋体"/>
          <w:sz w:val="24"/>
          <w:szCs w:val="24"/>
        </w:rPr>
        <w:t>（2）逐项评分（97分）</w:t>
      </w:r>
      <w:bookmarkEnd w:id="82"/>
    </w:p>
    <w:tbl>
      <w:tblPr>
        <w:tblStyle w:val="16"/>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2400"/>
        <w:gridCol w:w="690"/>
        <w:gridCol w:w="690"/>
        <w:gridCol w:w="5550"/>
      </w:tblGrid>
      <w:tr w14:paraId="3C7AB41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3D384B2C">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评估子项</w:t>
            </w:r>
          </w:p>
        </w:tc>
        <w:tc>
          <w:tcPr>
            <w:tcW w:w="690"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BE79193">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满分</w:t>
            </w:r>
          </w:p>
        </w:tc>
        <w:tc>
          <w:tcPr>
            <w:tcW w:w="690"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9F95EA5">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得分</w:t>
            </w:r>
          </w:p>
        </w:tc>
        <w:tc>
          <w:tcPr>
            <w:tcW w:w="5550"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95DC140">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情景说明（施工措施 &amp; 判分逻辑）</w:t>
            </w:r>
          </w:p>
        </w:tc>
      </w:tr>
      <w:tr w14:paraId="57C8C96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9330" w:type="dxa"/>
            <w:gridSpan w:val="4"/>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5EC1A366">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b/>
                <w:i w:val="0"/>
                <w:strike w:val="0"/>
                <w:color w:val="000000"/>
                <w:spacing w:val="0"/>
                <w:sz w:val="21"/>
                <w:szCs w:val="21"/>
                <w:u w:val="none"/>
              </w:rPr>
              <w:t>施工管理（45分）</w:t>
            </w:r>
          </w:p>
        </w:tc>
      </w:tr>
      <w:tr w14:paraId="667F20D8">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68641609">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施工前期策划</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FC9AD7B">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FEEF906">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22FDD56">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方案含零碳目标+责任矩阵+监理审查4分；全员培训+考核3分；数字孪生平台全数据采集共享3分</w:t>
            </w:r>
          </w:p>
        </w:tc>
      </w:tr>
      <w:tr w14:paraId="5205AF0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3BA75792">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施工过程碳管控</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0880987">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8519086">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AB63121">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100%绿电+零柴油机6分；电动化率95%得5分；实时分项计量+月报得4分</w:t>
            </w:r>
          </w:p>
        </w:tc>
      </w:tr>
      <w:tr w14:paraId="66A55D4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523162D">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施工后期管理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98F47E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66B59F4">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0A46C35">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竣工零碳核查+报告4分；废弃物回收率88%得3分；电子化100%+留存10年得3分</w:t>
            </w:r>
          </w:p>
        </w:tc>
      </w:tr>
      <w:tr w14:paraId="2083D41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7EC0E05F">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安全应急协同</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3A85829">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E43D2E5">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6F00C18">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零碳专项预案备案4分；年度演练+深度复盘3分；建立碳补偿基金机制3分</w:t>
            </w:r>
          </w:p>
        </w:tc>
      </w:tr>
      <w:tr w14:paraId="4485D8F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9330" w:type="dxa"/>
            <w:gridSpan w:val="4"/>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32181128">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b/>
                <w:i w:val="0"/>
                <w:strike w:val="0"/>
                <w:color w:val="000000"/>
                <w:spacing w:val="0"/>
                <w:sz w:val="21"/>
                <w:szCs w:val="21"/>
                <w:u w:val="none"/>
              </w:rPr>
              <w:t>施工技术（35分）</w:t>
            </w:r>
          </w:p>
        </w:tc>
      </w:tr>
      <w:tr w14:paraId="79480C2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79175F9A">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施工准备低碳技术</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24FDB16">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8</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BEC39C7">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8</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78EC2A9">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土方平衡率80%得3分；装配率92%+周转12次得3分；100%绿电+全面分项计量得2分</w:t>
            </w:r>
          </w:p>
        </w:tc>
      </w:tr>
      <w:tr w14:paraId="009E433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7E4AE952">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分部分项低碳施工</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34D04A2">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6D5F22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14</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214FE90">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钢支撑25次+再生骨料</w:t>
            </w:r>
            <w:r>
              <w:rPr>
                <w:rFonts w:hint="eastAsia" w:ascii="宋体" w:hAnsi="宋体" w:eastAsia="宋体" w:cs="宋体"/>
                <w:i w:val="0"/>
                <w:strike w:val="0"/>
                <w:color w:val="000000"/>
                <w:spacing w:val="0"/>
                <w:sz w:val="21"/>
                <w:szCs w:val="21"/>
                <w:u w:val="none"/>
              </w:rPr>
              <w:t>20</w:t>
            </w:r>
            <w:r>
              <w:rPr>
                <w:rFonts w:hint="default" w:ascii="宋体" w:hAnsi="宋体" w:eastAsia="宋体" w:cs="宋体"/>
                <w:i w:val="0"/>
                <w:strike w:val="0"/>
                <w:color w:val="000000"/>
                <w:spacing w:val="0"/>
                <w:sz w:val="21"/>
                <w:szCs w:val="21"/>
                <w:u w:val="none"/>
              </w:rPr>
              <w:t>%得5分；干法90%湿作业10%得5分；BIM全覆盖+预制52%得5分（检测记录轻微缺失-1分）</w:t>
            </w:r>
          </w:p>
        </w:tc>
      </w:tr>
      <w:tr w14:paraId="2370A3A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680BAC3">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材料循环利用</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842E791">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F6D9F07">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D2E8A13">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模板42次+周转材料60次得3分；再生建材全达标+碳足迹报告齐全得4分</w:t>
            </w:r>
          </w:p>
        </w:tc>
      </w:tr>
      <w:tr w14:paraId="7478C6A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80F4C93">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可再生能源应用</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00AF48C">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786366C">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126C9613">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屋顶光伏+地源热泵均安装，绿电自发自用，得5分</w:t>
            </w:r>
          </w:p>
        </w:tc>
      </w:tr>
      <w:tr w14:paraId="10D0238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9330" w:type="dxa"/>
            <w:gridSpan w:val="4"/>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4ABABE1E">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b/>
                <w:i w:val="0"/>
                <w:strike w:val="0"/>
                <w:color w:val="000000"/>
                <w:spacing w:val="0"/>
                <w:sz w:val="21"/>
                <w:szCs w:val="21"/>
                <w:u w:val="none"/>
              </w:rPr>
              <w:t>供应链管理（20分）</w:t>
            </w:r>
          </w:p>
        </w:tc>
      </w:tr>
      <w:tr w14:paraId="65DA7D3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A9538DE">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低碳材料管理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A51DA0B">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F68F95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7</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F5CFE44">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绿色建材认证92%+全附碳标签3分；本地采购95%得4分</w:t>
            </w:r>
          </w:p>
        </w:tc>
      </w:tr>
      <w:tr w14:paraId="5808B19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50F2CE69">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低碳供应商管理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8C20AD2">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3415180">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59061E79">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动态准入清单+核心供应商降碳20%得2分；季度评估+合同低碳条款+绩效激励3分</w:t>
            </w:r>
          </w:p>
        </w:tc>
      </w:tr>
      <w:tr w14:paraId="181C274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5A8CF112">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运输仓储低碳管控</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25206E8">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E3AA840">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5</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F08792A">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新能源运输80%得3分；仓储距2km+全面节能设施2分</w:t>
            </w:r>
          </w:p>
        </w:tc>
      </w:tr>
      <w:tr w14:paraId="72F806E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0BED1157">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供应链台账追溯</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055A1FC">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3</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84817C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CA7EECD">
            <w:pPr>
              <w:keepNext w:val="0"/>
              <w:keepLines w:val="0"/>
              <w:widowControl/>
              <w:suppressLineNumbers w:val="0"/>
              <w:snapToGrid/>
              <w:spacing w:before="0" w:beforeAutospacing="0" w:after="0" w:afterAutospacing="0" w:line="319" w:lineRule="auto"/>
              <w:ind w:left="0" w:right="0"/>
              <w:rPr>
                <w:rFonts w:hint="default"/>
                <w:sz w:val="21"/>
                <w:szCs w:val="21"/>
              </w:rPr>
            </w:pPr>
            <w:r>
              <w:rPr>
                <w:rFonts w:hint="default" w:ascii="宋体" w:hAnsi="宋体" w:eastAsia="宋体" w:cs="宋体"/>
                <w:i w:val="0"/>
                <w:strike w:val="0"/>
                <w:color w:val="000000"/>
                <w:spacing w:val="0"/>
                <w:sz w:val="21"/>
                <w:szCs w:val="21"/>
                <w:u w:val="none"/>
              </w:rPr>
              <w:t>全流程台账基本完整但回收环节溯源凭证部分缺失，扣2分得1分</w:t>
            </w:r>
          </w:p>
        </w:tc>
      </w:tr>
      <w:tr w14:paraId="7C24B54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2400"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4F322DA">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评分项总得分</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5A71C74">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100</w:t>
            </w:r>
          </w:p>
        </w:tc>
        <w:tc>
          <w:tcPr>
            <w:tcW w:w="69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8C840B2">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97</w:t>
            </w:r>
          </w:p>
        </w:tc>
        <w:tc>
          <w:tcPr>
            <w:tcW w:w="5550"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305A4186">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碳排放：建造阶段净碳排放≤0 kgCO</w:t>
            </w:r>
            <w:r>
              <w:rPr>
                <w:rFonts w:hint="default" w:ascii="Cambria Math" w:hAnsi="Cambria Math" w:cs="Cambria Math"/>
                <w:i w:val="0"/>
                <w:strike w:val="0"/>
                <w:color w:val="000000"/>
                <w:spacing w:val="0"/>
                <w:sz w:val="21"/>
                <w:szCs w:val="21"/>
                <w:u w:val="none"/>
              </w:rPr>
              <w:t>₂</w:t>
            </w:r>
            <w:r>
              <w:rPr>
                <w:rFonts w:hint="default" w:ascii="宋体" w:hAnsi="宋体" w:eastAsia="宋体" w:cs="宋体"/>
                <w:i w:val="0"/>
                <w:strike w:val="0"/>
                <w:color w:val="000000"/>
                <w:spacing w:val="0"/>
                <w:sz w:val="21"/>
                <w:szCs w:val="21"/>
                <w:u w:val="none"/>
              </w:rPr>
              <w:t>e（购买CCER/林业碳汇抵消，抵消比例8%，未超10%上限）</w:t>
            </w:r>
          </w:p>
        </w:tc>
      </w:tr>
    </w:tbl>
    <w:p w14:paraId="1D7DA876">
      <w:pPr>
        <w:snapToGrid/>
        <w:spacing w:before="60" w:after="0" w:line="240" w:lineRule="auto"/>
        <w:ind w:left="0" w:right="0"/>
      </w:pPr>
      <w:r>
        <w:rPr>
          <w:rFonts w:ascii="宋体" w:hAnsi="宋体" w:eastAsia="宋体" w:cs="宋体"/>
          <w:i w:val="0"/>
          <w:strike w:val="0"/>
          <w:color w:val="000000"/>
          <w:sz w:val="20"/>
          <w:u w:val="none"/>
        </w:rPr>
        <w:t> </w:t>
      </w:r>
    </w:p>
    <w:p w14:paraId="2233ED88">
      <w:pPr>
        <w:bidi w:val="0"/>
        <w:rPr>
          <w:rFonts w:hint="eastAsia" w:ascii="宋体" w:hAnsi="宋体" w:eastAsia="宋体" w:cs="宋体"/>
          <w:sz w:val="24"/>
          <w:szCs w:val="24"/>
        </w:rPr>
      </w:pPr>
      <w:bookmarkStart w:id="83" w:name="_Tocoig1vg"/>
      <w:r>
        <w:rPr>
          <w:rFonts w:hint="eastAsia" w:ascii="宋体" w:hAnsi="宋体" w:eastAsia="宋体" w:cs="宋体"/>
          <w:sz w:val="24"/>
          <w:szCs w:val="24"/>
        </w:rPr>
        <w:t>（3）达标难易程度评估</w:t>
      </w:r>
      <w:bookmarkEnd w:id="83"/>
    </w:p>
    <w:tbl>
      <w:tblPr>
        <w:tblStyle w:val="16"/>
        <w:tblW w:w="9345" w:type="dxa"/>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1539"/>
        <w:gridCol w:w="1542"/>
        <w:gridCol w:w="6264"/>
      </w:tblGrid>
      <w:tr w14:paraId="63FC100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153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1A7012B6">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评估维度</w:t>
            </w:r>
          </w:p>
        </w:tc>
        <w:tc>
          <w:tcPr>
            <w:tcW w:w="1542"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E071F3D">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难度</w:t>
            </w:r>
          </w:p>
        </w:tc>
        <w:tc>
          <w:tcPr>
            <w:tcW w:w="6264" w:type="dxa"/>
            <w:tcBorders>
              <w:top w:val="single" w:color="000000" w:sz="8"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CE43A77">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b/>
                <w:i w:val="0"/>
                <w:strike w:val="0"/>
                <w:color w:val="000000"/>
                <w:spacing w:val="0"/>
                <w:sz w:val="21"/>
                <w:szCs w:val="21"/>
                <w:u w:val="none"/>
              </w:rPr>
              <w:t>具体说明</w:t>
            </w:r>
          </w:p>
        </w:tc>
      </w:tr>
      <w:tr w14:paraId="6C52B86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1539"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62E5FAC2">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综合难度</w:t>
            </w:r>
          </w:p>
        </w:tc>
        <w:tc>
          <w:tcPr>
            <w:tcW w:w="1542"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43BFB560">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★★★★★（极难）</w:t>
            </w:r>
          </w:p>
        </w:tc>
        <w:tc>
          <w:tcPr>
            <w:tcW w:w="6264"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088E0738">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综合评价：零碳施工的核心壁垒在于三个方面：①施工阶段真实减排需达到强度≤2 kgCO</w:t>
            </w:r>
            <w:r>
              <w:rPr>
                <w:rFonts w:hint="default" w:ascii="Cambria Math" w:hAnsi="Cambria Math" w:cs="Cambria Math"/>
                <w:i w:val="0"/>
                <w:strike w:val="0"/>
                <w:color w:val="000000"/>
                <w:spacing w:val="0"/>
                <w:sz w:val="21"/>
                <w:szCs w:val="21"/>
                <w:u w:val="none"/>
              </w:rPr>
              <w:t>₂</w:t>
            </w:r>
            <w:r>
              <w:rPr>
                <w:rFonts w:hint="default" w:ascii="宋体" w:hAnsi="宋体" w:eastAsia="宋体" w:cs="宋体"/>
                <w:i w:val="0"/>
                <w:strike w:val="0"/>
                <w:color w:val="000000"/>
                <w:spacing w:val="0"/>
                <w:sz w:val="21"/>
                <w:szCs w:val="21"/>
                <w:u w:val="none"/>
              </w:rPr>
              <w:t>e/m²方可安全使用10%碳汇抵消，对全过程碳管控提出系统性要求；②供应链全生命周期闭环管理（尤其废弃物回收环节）的台账追溯在国内尚无成熟标准；③数字孪生平台建设需BIM+物联网+大数据多技术融合，投入大且运维要求高。建议分阶段推进，先实现"碳排放可量化"，再实现"碳排放可调控"。</w:t>
            </w:r>
          </w:p>
        </w:tc>
      </w:tr>
      <w:tr w14:paraId="73F417F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1539"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798272E6">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相对易达标项</w:t>
            </w:r>
          </w:p>
        </w:tc>
        <w:tc>
          <w:tcPr>
            <w:tcW w:w="1542"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E27CE1F">
            <w:pPr>
              <w:keepNext w:val="0"/>
              <w:keepLines w:val="0"/>
              <w:widowControl/>
              <w:suppressLineNumbers w:val="0"/>
              <w:snapToGrid/>
              <w:spacing w:before="0" w:beforeAutospacing="0" w:after="0" w:afterAutospacing="0" w:line="240" w:lineRule="auto"/>
              <w:ind w:left="0" w:right="0"/>
              <w:jc w:val="center"/>
              <w:rPr>
                <w:rFonts w:hint="default"/>
                <w:sz w:val="21"/>
                <w:szCs w:val="21"/>
              </w:rPr>
            </w:pPr>
            <w:r>
              <w:rPr>
                <w:rFonts w:hint="default" w:ascii="宋体" w:hAnsi="宋体" w:eastAsia="宋体" w:cs="宋体"/>
                <w:i w:val="0"/>
                <w:strike w:val="0"/>
                <w:color w:val="000000"/>
                <w:spacing w:val="0"/>
                <w:sz w:val="21"/>
                <w:szCs w:val="21"/>
                <w:u w:val="none"/>
              </w:rPr>
              <w:t>★★★☆☆</w:t>
            </w:r>
          </w:p>
        </w:tc>
        <w:tc>
          <w:tcPr>
            <w:tcW w:w="6264"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639E4A23">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施工前期策划满分可通过体系化建设实现，相对可控</w:t>
            </w:r>
          </w:p>
          <w:p w14:paraId="41C0ECE1">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安全应急协同（10/10）：只需按要求编制预案和演练，执行路径清晰</w:t>
            </w:r>
          </w:p>
          <w:p w14:paraId="5FCCE269">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施工准备低碳技术（8/8）：土方平衡和装配式临时设施有成熟技术方案</w:t>
            </w:r>
          </w:p>
          <w:p w14:paraId="1407F5E5">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可再生能源（5/5）：光伏+热泵系统技术成熟，达标明确</w:t>
            </w:r>
          </w:p>
        </w:tc>
      </w:tr>
      <w:tr w14:paraId="1781A582">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1539" w:type="dxa"/>
            <w:tcBorders>
              <w:top w:val="single" w:color="000000" w:sz="0" w:space="0"/>
              <w:left w:val="single" w:color="000000" w:sz="8" w:space="0"/>
              <w:bottom w:val="single" w:color="000000" w:sz="8" w:space="0"/>
              <w:right w:val="single" w:color="000000" w:sz="8" w:space="0"/>
            </w:tcBorders>
            <w:tcMar>
              <w:top w:w="0" w:type="dxa"/>
              <w:left w:w="108" w:type="dxa"/>
              <w:bottom w:w="0" w:type="dxa"/>
              <w:right w:w="108" w:type="dxa"/>
            </w:tcMar>
            <w:vAlign w:val="top"/>
          </w:tcPr>
          <w:p w14:paraId="4F363A8B">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核心难点</w:t>
            </w:r>
          </w:p>
        </w:tc>
        <w:tc>
          <w:tcPr>
            <w:tcW w:w="1542"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207E60F6">
            <w:pPr>
              <w:keepNext w:val="0"/>
              <w:keepLines w:val="0"/>
              <w:widowControl/>
              <w:suppressLineNumbers w:val="0"/>
              <w:snapToGrid/>
              <w:spacing w:before="0" w:beforeAutospacing="0" w:after="0" w:afterAutospacing="0" w:line="240" w:lineRule="auto"/>
              <w:ind w:left="0" w:right="0"/>
              <w:rPr>
                <w:rFonts w:hint="default"/>
                <w:sz w:val="21"/>
                <w:szCs w:val="21"/>
              </w:rPr>
            </w:pPr>
            <w:r>
              <w:rPr>
                <w:rFonts w:hint="default" w:ascii="宋体" w:hAnsi="宋体" w:eastAsia="宋体" w:cs="宋体"/>
                <w:i w:val="0"/>
                <w:strike w:val="0"/>
                <w:color w:val="000000"/>
                <w:spacing w:val="0"/>
                <w:sz w:val="21"/>
                <w:szCs w:val="21"/>
                <w:u w:val="none"/>
              </w:rPr>
              <w:t>★★★★★</w:t>
            </w:r>
          </w:p>
        </w:tc>
        <w:tc>
          <w:tcPr>
            <w:tcW w:w="6264" w:type="dxa"/>
            <w:tcBorders>
              <w:top w:val="single" w:color="000000" w:sz="0" w:space="0"/>
              <w:left w:val="single" w:color="000000" w:sz="0" w:space="0"/>
              <w:bottom w:val="single" w:color="000000" w:sz="8" w:space="0"/>
              <w:right w:val="single" w:color="000000" w:sz="8" w:space="0"/>
            </w:tcBorders>
            <w:tcMar>
              <w:top w:w="0" w:type="dxa"/>
              <w:left w:w="108" w:type="dxa"/>
              <w:bottom w:w="0" w:type="dxa"/>
              <w:right w:w="108" w:type="dxa"/>
            </w:tcMar>
            <w:vAlign w:val="top"/>
          </w:tcPr>
          <w:p w14:paraId="72C4A0F1">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分部分项低碳施工（14/15）：再生骨料掺量≥</w:t>
            </w:r>
            <w:r>
              <w:rPr>
                <w:rFonts w:hint="eastAsia" w:ascii="宋体" w:hAnsi="宋体" w:eastAsia="宋体" w:cs="宋体"/>
                <w:i w:val="0"/>
                <w:strike w:val="0"/>
                <w:color w:val="000000"/>
                <w:spacing w:val="0"/>
                <w:sz w:val="21"/>
                <w:szCs w:val="21"/>
                <w:u w:val="none"/>
              </w:rPr>
              <w:t>2</w:t>
            </w:r>
            <w:r>
              <w:rPr>
                <w:rFonts w:hint="default" w:ascii="宋体" w:hAnsi="宋体" w:eastAsia="宋体" w:cs="宋体"/>
                <w:i w:val="0"/>
                <w:strike w:val="0"/>
                <w:color w:val="000000"/>
                <w:spacing w:val="0"/>
                <w:sz w:val="21"/>
                <w:szCs w:val="21"/>
                <w:u w:val="none"/>
              </w:rPr>
              <w:t>0%、装配式深化应用等需设计端配合，且供应链需稳定供应；预制率≥40%需EPC一体化管理</w:t>
            </w:r>
          </w:p>
          <w:p w14:paraId="2653A832">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施工过程碳管控（15/15）：100%绿电+零柴油机对能源管理提出极高要求，任何设备使用疏漏即可能导致扣分；电动化率≥80%在大型机械领域技术尚不完全成熟</w:t>
            </w:r>
          </w:p>
          <w:p w14:paraId="3F8506E8">
            <w:pPr>
              <w:keepNext w:val="0"/>
              <w:keepLines w:val="0"/>
              <w:widowControl/>
              <w:suppressLineNumbers w:val="0"/>
              <w:snapToGrid/>
              <w:spacing w:before="20" w:beforeAutospacing="0" w:after="20" w:afterAutospacing="0" w:line="300" w:lineRule="auto"/>
              <w:ind w:left="0" w:right="0"/>
              <w:rPr>
                <w:rFonts w:hint="default"/>
                <w:sz w:val="21"/>
                <w:szCs w:val="21"/>
              </w:rPr>
            </w:pPr>
            <w:r>
              <w:rPr>
                <w:rFonts w:hint="default" w:ascii="宋体" w:hAnsi="宋体" w:eastAsia="宋体" w:cs="宋体"/>
                <w:i w:val="0"/>
                <w:strike w:val="0"/>
                <w:color w:val="000000"/>
                <w:spacing w:val="0"/>
                <w:sz w:val="21"/>
                <w:szCs w:val="21"/>
                <w:u w:val="none"/>
              </w:rPr>
              <w:t>◆ 供应链台账追溯（1/3）：回收环节溯源凭证缺失反映全生命周期闭环管理是最大短板，建筑垃圾从产生→分类→处置→再利用的全链条可追溯性在国内尚无成熟模式</w:t>
            </w:r>
          </w:p>
        </w:tc>
      </w:tr>
    </w:tbl>
    <w:p w14:paraId="42192125">
      <w:pPr>
        <w:snapToGrid/>
        <w:spacing w:before="60" w:after="0" w:line="240" w:lineRule="auto"/>
        <w:ind w:left="0" w:right="0"/>
      </w:pPr>
      <w:r>
        <w:rPr>
          <w:rFonts w:ascii="宋体" w:hAnsi="宋体" w:eastAsia="宋体" w:cs="宋体"/>
          <w:i w:val="0"/>
          <w:strike w:val="0"/>
          <w:color w:val="000000"/>
          <w:sz w:val="20"/>
          <w:u w:val="none"/>
        </w:rPr>
        <w:t> </w:t>
      </w:r>
    </w:p>
    <w:p w14:paraId="5DEEFA89">
      <w:pPr>
        <w:snapToGrid/>
        <w:spacing w:before="40" w:after="40" w:line="360" w:lineRule="auto"/>
        <w:ind w:left="0" w:right="0"/>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评分项总得分97分，满足总分≥95；碳排放强度≤0 kgCO₂e/m²（经碳汇抵消后净零），满足强度≤0条件。三级，零碳施工。</w:t>
      </w:r>
    </w:p>
    <w:p w14:paraId="76A5C257">
      <w:pPr>
        <w:snapToGrid/>
        <w:spacing w:before="80" w:after="0" w:line="240" w:lineRule="auto"/>
        <w:ind w:left="0" w:right="0"/>
      </w:pPr>
      <w:r>
        <w:rPr>
          <w:rFonts w:ascii="宋体" w:hAnsi="宋体" w:eastAsia="宋体" w:cs="宋体"/>
          <w:i w:val="0"/>
          <w:strike w:val="0"/>
          <w:color w:val="000000"/>
          <w:sz w:val="20"/>
          <w:u w:val="none"/>
        </w:rPr>
        <w:t> </w:t>
      </w:r>
    </w:p>
    <w:p w14:paraId="64F20D33">
      <w:pPr>
        <w:spacing w:line="361" w:lineRule="auto"/>
        <w:ind w:left="24" w:right="13" w:firstLine="481"/>
        <w:jc w:val="both"/>
        <w:rPr>
          <w:rFonts w:ascii="宋体" w:hAnsi="宋体" w:eastAsia="宋体" w:cs="宋体"/>
          <w:sz w:val="24"/>
          <w:szCs w:val="24"/>
        </w:rPr>
      </w:pPr>
    </w:p>
    <w:p w14:paraId="2BEED74E">
      <w:pPr>
        <w:spacing w:line="361" w:lineRule="auto"/>
        <w:ind w:left="24" w:right="13" w:firstLine="481"/>
        <w:jc w:val="both"/>
        <w:rPr>
          <w:rFonts w:ascii="宋体" w:hAnsi="宋体" w:eastAsia="宋体" w:cs="宋体"/>
          <w:sz w:val="24"/>
          <w:szCs w:val="24"/>
        </w:rPr>
      </w:pPr>
    </w:p>
    <w:p w14:paraId="5CAAA286">
      <w:pPr>
        <w:spacing w:line="361" w:lineRule="auto"/>
        <w:ind w:left="24" w:right="13" w:firstLine="481"/>
        <w:jc w:val="both"/>
        <w:rPr>
          <w:rFonts w:ascii="宋体" w:hAnsi="宋体" w:eastAsia="宋体" w:cs="宋体"/>
          <w:sz w:val="24"/>
          <w:szCs w:val="24"/>
        </w:rPr>
      </w:pPr>
    </w:p>
    <w:p w14:paraId="60ECA598">
      <w:pPr>
        <w:spacing w:line="361" w:lineRule="auto"/>
        <w:ind w:left="24" w:right="13" w:firstLine="481"/>
        <w:jc w:val="both"/>
        <w:rPr>
          <w:rFonts w:ascii="宋体" w:hAnsi="宋体" w:eastAsia="宋体" w:cs="宋体"/>
          <w:sz w:val="24"/>
          <w:szCs w:val="24"/>
        </w:rPr>
      </w:pPr>
    </w:p>
    <w:p w14:paraId="602D8D90">
      <w:pPr>
        <w:spacing w:line="361" w:lineRule="auto"/>
        <w:ind w:left="24" w:right="13" w:firstLine="481"/>
        <w:jc w:val="both"/>
        <w:rPr>
          <w:rFonts w:ascii="宋体" w:hAnsi="宋体" w:eastAsia="宋体" w:cs="宋体"/>
          <w:sz w:val="24"/>
          <w:szCs w:val="24"/>
        </w:rPr>
      </w:pPr>
    </w:p>
    <w:p w14:paraId="1C990FC6">
      <w:pPr>
        <w:spacing w:line="361" w:lineRule="auto"/>
        <w:ind w:left="24" w:right="13" w:firstLine="481"/>
        <w:jc w:val="both"/>
        <w:rPr>
          <w:rFonts w:ascii="宋体" w:hAnsi="宋体" w:eastAsia="宋体" w:cs="宋体"/>
          <w:sz w:val="24"/>
          <w:szCs w:val="24"/>
        </w:rPr>
      </w:pPr>
    </w:p>
    <w:p w14:paraId="22F9E434">
      <w:pPr>
        <w:spacing w:line="361" w:lineRule="auto"/>
        <w:ind w:left="24" w:right="13" w:firstLine="481"/>
        <w:jc w:val="both"/>
        <w:rPr>
          <w:rFonts w:ascii="宋体" w:hAnsi="宋体" w:eastAsia="宋体" w:cs="宋体"/>
          <w:sz w:val="24"/>
          <w:szCs w:val="24"/>
        </w:rPr>
      </w:pPr>
    </w:p>
    <w:p w14:paraId="019A051B">
      <w:pPr>
        <w:spacing w:line="361" w:lineRule="auto"/>
        <w:ind w:left="24" w:right="13" w:firstLine="481"/>
        <w:jc w:val="both"/>
        <w:rPr>
          <w:rFonts w:ascii="宋体" w:hAnsi="宋体" w:eastAsia="宋体" w:cs="宋体"/>
          <w:sz w:val="24"/>
          <w:szCs w:val="24"/>
        </w:rPr>
      </w:pPr>
    </w:p>
    <w:p w14:paraId="6B8E2B33">
      <w:pPr>
        <w:spacing w:line="361" w:lineRule="auto"/>
        <w:ind w:left="24" w:right="13" w:firstLine="481"/>
        <w:jc w:val="both"/>
        <w:rPr>
          <w:rFonts w:ascii="宋体" w:hAnsi="宋体" w:eastAsia="宋体" w:cs="宋体"/>
          <w:sz w:val="24"/>
          <w:szCs w:val="24"/>
        </w:rPr>
      </w:pPr>
    </w:p>
    <w:p w14:paraId="434BD8A6">
      <w:pPr>
        <w:spacing w:line="361" w:lineRule="auto"/>
        <w:ind w:left="24" w:right="13" w:firstLine="481"/>
        <w:jc w:val="both"/>
        <w:rPr>
          <w:rFonts w:ascii="宋体" w:hAnsi="宋体" w:eastAsia="宋体" w:cs="宋体"/>
          <w:sz w:val="24"/>
          <w:szCs w:val="24"/>
        </w:rPr>
      </w:pPr>
    </w:p>
    <w:p w14:paraId="196ACA60">
      <w:pPr>
        <w:spacing w:line="361" w:lineRule="auto"/>
        <w:ind w:left="24" w:right="13" w:firstLine="481"/>
        <w:jc w:val="both"/>
        <w:rPr>
          <w:rFonts w:ascii="宋体" w:hAnsi="宋体" w:eastAsia="宋体" w:cs="宋体"/>
          <w:sz w:val="24"/>
          <w:szCs w:val="24"/>
        </w:rPr>
      </w:pPr>
    </w:p>
    <w:p w14:paraId="25F69290">
      <w:pPr>
        <w:spacing w:line="361" w:lineRule="auto"/>
        <w:ind w:left="24" w:right="13" w:firstLine="481"/>
        <w:jc w:val="both"/>
        <w:rPr>
          <w:rFonts w:ascii="宋体" w:hAnsi="宋体" w:eastAsia="宋体" w:cs="宋体"/>
          <w:sz w:val="24"/>
          <w:szCs w:val="24"/>
        </w:rPr>
      </w:pPr>
    </w:p>
    <w:p w14:paraId="2A087228">
      <w:pPr>
        <w:spacing w:before="100" w:line="224" w:lineRule="auto"/>
        <w:ind w:left="3056"/>
        <w:outlineLvl w:val="0"/>
        <w:rPr>
          <w:rFonts w:ascii="宋体" w:hAnsi="宋体" w:eastAsia="宋体" w:cs="宋体"/>
          <w:b/>
          <w:bCs/>
          <w:spacing w:val="5"/>
          <w:sz w:val="31"/>
          <w:szCs w:val="31"/>
        </w:rPr>
      </w:pPr>
    </w:p>
    <w:p w14:paraId="7957C225">
      <w:pPr>
        <w:spacing w:before="100" w:line="224" w:lineRule="auto"/>
        <w:ind w:left="3056"/>
        <w:outlineLvl w:val="0"/>
        <w:rPr>
          <w:rFonts w:ascii="宋体" w:hAnsi="宋体" w:eastAsia="宋体" w:cs="宋体"/>
          <w:b/>
          <w:bCs/>
          <w:spacing w:val="5"/>
          <w:sz w:val="31"/>
          <w:szCs w:val="31"/>
        </w:rPr>
      </w:pPr>
    </w:p>
    <w:p w14:paraId="5E424DE1">
      <w:pPr>
        <w:spacing w:before="100" w:line="224" w:lineRule="auto"/>
        <w:ind w:left="3056"/>
        <w:outlineLvl w:val="0"/>
        <w:rPr>
          <w:rFonts w:ascii="宋体" w:hAnsi="宋体" w:eastAsia="宋体" w:cs="宋体"/>
          <w:b/>
          <w:bCs/>
          <w:spacing w:val="5"/>
          <w:sz w:val="31"/>
          <w:szCs w:val="31"/>
        </w:rPr>
      </w:pPr>
    </w:p>
    <w:p w14:paraId="586C36A3">
      <w:pPr>
        <w:spacing w:before="100" w:line="224" w:lineRule="auto"/>
        <w:ind w:left="3056"/>
        <w:outlineLvl w:val="0"/>
        <w:rPr>
          <w:rFonts w:ascii="宋体" w:hAnsi="宋体" w:eastAsia="宋体" w:cs="宋体"/>
          <w:sz w:val="31"/>
          <w:szCs w:val="31"/>
        </w:rPr>
      </w:pPr>
      <w:bookmarkStart w:id="84" w:name="_Toc1169"/>
      <w:r>
        <w:rPr>
          <w:rFonts w:ascii="宋体" w:hAnsi="宋体" w:eastAsia="宋体" w:cs="宋体"/>
          <w:b/>
          <w:bCs/>
          <w:spacing w:val="5"/>
          <w:sz w:val="31"/>
          <w:szCs w:val="31"/>
        </w:rPr>
        <w:t>本标准用词说明</w:t>
      </w:r>
      <w:bookmarkEnd w:id="84"/>
    </w:p>
    <w:p w14:paraId="5F5A3C1C">
      <w:pPr>
        <w:pStyle w:val="7"/>
        <w:spacing w:line="299" w:lineRule="auto"/>
      </w:pPr>
    </w:p>
    <w:p w14:paraId="64F46619">
      <w:pPr>
        <w:pStyle w:val="7"/>
        <w:spacing w:line="300" w:lineRule="auto"/>
      </w:pPr>
    </w:p>
    <w:p w14:paraId="02645858">
      <w:pPr>
        <w:spacing w:before="78" w:line="359" w:lineRule="auto"/>
        <w:ind w:left="27" w:right="16" w:firstLine="482"/>
        <w:rPr>
          <w:rFonts w:ascii="宋体" w:hAnsi="宋体" w:eastAsia="宋体" w:cs="宋体"/>
          <w:sz w:val="24"/>
          <w:szCs w:val="24"/>
        </w:rPr>
      </w:pPr>
      <w:r>
        <w:rPr>
          <w:rFonts w:ascii="Times New Roman" w:hAnsi="Times New Roman" w:eastAsia="Times New Roman" w:cs="Times New Roman"/>
          <w:b/>
          <w:bCs/>
          <w:sz w:val="24"/>
          <w:szCs w:val="24"/>
        </w:rPr>
        <w:t xml:space="preserve">1    </w:t>
      </w:r>
      <w:r>
        <w:rPr>
          <w:rFonts w:ascii="宋体" w:hAnsi="宋体" w:eastAsia="宋体" w:cs="宋体"/>
          <w:sz w:val="24"/>
          <w:szCs w:val="24"/>
        </w:rPr>
        <w:t>为便于在执行本</w:t>
      </w:r>
      <w:r>
        <w:rPr>
          <w:rFonts w:hint="eastAsia" w:ascii="宋体" w:hAnsi="宋体" w:eastAsia="宋体" w:cs="宋体"/>
          <w:sz w:val="24"/>
          <w:szCs w:val="24"/>
          <w:lang w:eastAsia="zh-CN"/>
        </w:rPr>
        <w:t>标准</w:t>
      </w:r>
      <w:r>
        <w:rPr>
          <w:rFonts w:ascii="宋体" w:hAnsi="宋体" w:eastAsia="宋体" w:cs="宋体"/>
          <w:sz w:val="24"/>
          <w:szCs w:val="24"/>
        </w:rPr>
        <w:t>条文时区别对待，对要求严格程度不同的用词说明</w:t>
      </w:r>
      <w:r>
        <w:rPr>
          <w:rFonts w:ascii="宋体" w:hAnsi="宋体" w:eastAsia="宋体" w:cs="宋体"/>
          <w:spacing w:val="-5"/>
          <w:sz w:val="24"/>
          <w:szCs w:val="24"/>
        </w:rPr>
        <w:t>如下：</w:t>
      </w:r>
    </w:p>
    <w:p w14:paraId="35F4A2C5">
      <w:pPr>
        <w:spacing w:line="219" w:lineRule="auto"/>
        <w:ind w:left="749"/>
        <w:rPr>
          <w:rFonts w:ascii="宋体" w:hAnsi="宋体" w:eastAsia="宋体" w:cs="宋体"/>
          <w:sz w:val="24"/>
          <w:szCs w:val="24"/>
        </w:rPr>
      </w:pPr>
      <w:r>
        <w:rPr>
          <w:rFonts w:ascii="Times New Roman" w:hAnsi="Times New Roman" w:eastAsia="Times New Roman" w:cs="Times New Roman"/>
          <w:b/>
          <w:bCs/>
          <w:spacing w:val="-2"/>
          <w:sz w:val="24"/>
          <w:szCs w:val="24"/>
        </w:rPr>
        <w:t>1</w:t>
      </w:r>
      <w:r>
        <w:rPr>
          <w:rFonts w:ascii="宋体" w:hAnsi="宋体" w:eastAsia="宋体" w:cs="宋体"/>
          <w:b/>
          <w:bCs/>
          <w:spacing w:val="-2"/>
          <w:sz w:val="24"/>
          <w:szCs w:val="24"/>
        </w:rPr>
        <w:t>）</w:t>
      </w:r>
      <w:r>
        <w:rPr>
          <w:rFonts w:ascii="宋体" w:hAnsi="宋体" w:eastAsia="宋体" w:cs="宋体"/>
          <w:spacing w:val="-2"/>
          <w:sz w:val="24"/>
          <w:szCs w:val="24"/>
        </w:rPr>
        <w:t>表示很严格，非这样做不可的：</w:t>
      </w:r>
    </w:p>
    <w:p w14:paraId="32A1E1A3">
      <w:pPr>
        <w:spacing w:before="182" w:line="219" w:lineRule="auto"/>
        <w:ind w:left="1108"/>
        <w:rPr>
          <w:rFonts w:ascii="宋体" w:hAnsi="宋体" w:eastAsia="宋体" w:cs="宋体"/>
          <w:sz w:val="24"/>
          <w:szCs w:val="24"/>
        </w:rPr>
      </w:pPr>
      <w:r>
        <w:rPr>
          <w:rFonts w:ascii="宋体" w:hAnsi="宋体" w:eastAsia="宋体" w:cs="宋体"/>
          <w:spacing w:val="-3"/>
          <w:sz w:val="24"/>
          <w:szCs w:val="24"/>
        </w:rPr>
        <w:t>正面词采用“必须</w:t>
      </w:r>
      <w:r>
        <w:rPr>
          <w:rFonts w:ascii="宋体" w:hAnsi="宋体" w:eastAsia="宋体" w:cs="宋体"/>
          <w:spacing w:val="-78"/>
          <w:sz w:val="24"/>
          <w:szCs w:val="24"/>
        </w:rPr>
        <w:t xml:space="preserve"> </w:t>
      </w:r>
      <w:r>
        <w:rPr>
          <w:rFonts w:ascii="宋体" w:hAnsi="宋体" w:eastAsia="宋体" w:cs="宋体"/>
          <w:spacing w:val="-3"/>
          <w:sz w:val="24"/>
          <w:szCs w:val="24"/>
        </w:rPr>
        <w:t>”，反面词采用“严禁</w:t>
      </w:r>
      <w:r>
        <w:rPr>
          <w:rFonts w:ascii="宋体" w:hAnsi="宋体" w:eastAsia="宋体" w:cs="宋体"/>
          <w:spacing w:val="-88"/>
          <w:sz w:val="24"/>
          <w:szCs w:val="24"/>
        </w:rPr>
        <w:t xml:space="preserve"> </w:t>
      </w:r>
      <w:r>
        <w:rPr>
          <w:rFonts w:ascii="宋体" w:hAnsi="宋体" w:eastAsia="宋体" w:cs="宋体"/>
          <w:spacing w:val="-3"/>
          <w:sz w:val="24"/>
          <w:szCs w:val="24"/>
        </w:rPr>
        <w:t>”；</w:t>
      </w:r>
    </w:p>
    <w:p w14:paraId="6EC2BFD7">
      <w:pPr>
        <w:spacing w:before="181" w:line="219" w:lineRule="auto"/>
        <w:ind w:left="739"/>
        <w:rPr>
          <w:rFonts w:ascii="宋体" w:hAnsi="宋体" w:eastAsia="宋体" w:cs="宋体"/>
          <w:sz w:val="24"/>
          <w:szCs w:val="24"/>
        </w:rPr>
      </w:pPr>
      <w:r>
        <w:rPr>
          <w:rFonts w:ascii="Times New Roman" w:hAnsi="Times New Roman" w:eastAsia="Times New Roman" w:cs="Times New Roman"/>
          <w:b/>
          <w:bCs/>
          <w:spacing w:val="-1"/>
          <w:sz w:val="24"/>
          <w:szCs w:val="24"/>
        </w:rPr>
        <w:t>2</w:t>
      </w:r>
      <w:r>
        <w:rPr>
          <w:rFonts w:ascii="宋体" w:hAnsi="宋体" w:eastAsia="宋体" w:cs="宋体"/>
          <w:b/>
          <w:bCs/>
          <w:spacing w:val="-1"/>
          <w:sz w:val="24"/>
          <w:szCs w:val="24"/>
        </w:rPr>
        <w:t>）</w:t>
      </w:r>
      <w:r>
        <w:rPr>
          <w:rFonts w:ascii="宋体" w:hAnsi="宋体" w:eastAsia="宋体" w:cs="宋体"/>
          <w:spacing w:val="-1"/>
          <w:sz w:val="24"/>
          <w:szCs w:val="24"/>
        </w:rPr>
        <w:t>表示严格，在正常情况下均应这样做的：</w:t>
      </w:r>
    </w:p>
    <w:p w14:paraId="04794ACF">
      <w:pPr>
        <w:spacing w:before="183" w:line="219" w:lineRule="auto"/>
        <w:ind w:left="1108"/>
        <w:rPr>
          <w:rFonts w:ascii="宋体" w:hAnsi="宋体" w:eastAsia="宋体" w:cs="宋体"/>
          <w:sz w:val="24"/>
          <w:szCs w:val="24"/>
        </w:rPr>
      </w:pPr>
      <w:r>
        <w:rPr>
          <w:rFonts w:ascii="宋体" w:hAnsi="宋体" w:eastAsia="宋体" w:cs="宋体"/>
          <w:spacing w:val="-4"/>
          <w:sz w:val="24"/>
          <w:szCs w:val="24"/>
        </w:rPr>
        <w:t>正面词采用“应</w:t>
      </w:r>
      <w:r>
        <w:rPr>
          <w:rFonts w:ascii="宋体" w:hAnsi="宋体" w:eastAsia="宋体" w:cs="宋体"/>
          <w:spacing w:val="-74"/>
          <w:sz w:val="24"/>
          <w:szCs w:val="24"/>
        </w:rPr>
        <w:t xml:space="preserve"> </w:t>
      </w:r>
      <w:r>
        <w:rPr>
          <w:rFonts w:ascii="宋体" w:hAnsi="宋体" w:eastAsia="宋体" w:cs="宋体"/>
          <w:spacing w:val="-4"/>
          <w:sz w:val="24"/>
          <w:szCs w:val="24"/>
        </w:rPr>
        <w:t>”，反面词采用“不应</w:t>
      </w:r>
      <w:r>
        <w:rPr>
          <w:rFonts w:ascii="宋体" w:hAnsi="宋体" w:eastAsia="宋体" w:cs="宋体"/>
          <w:spacing w:val="-88"/>
          <w:sz w:val="24"/>
          <w:szCs w:val="24"/>
        </w:rPr>
        <w:t xml:space="preserve"> </w:t>
      </w:r>
      <w:r>
        <w:rPr>
          <w:rFonts w:ascii="宋体" w:hAnsi="宋体" w:eastAsia="宋体" w:cs="宋体"/>
          <w:spacing w:val="-4"/>
          <w:sz w:val="24"/>
          <w:szCs w:val="24"/>
        </w:rPr>
        <w:t>”或“不得</w:t>
      </w:r>
      <w:r>
        <w:rPr>
          <w:rFonts w:ascii="宋体" w:hAnsi="宋体" w:eastAsia="宋体" w:cs="宋体"/>
          <w:spacing w:val="-88"/>
          <w:sz w:val="24"/>
          <w:szCs w:val="24"/>
        </w:rPr>
        <w:t xml:space="preserve"> </w:t>
      </w:r>
      <w:r>
        <w:rPr>
          <w:rFonts w:ascii="宋体" w:hAnsi="宋体" w:eastAsia="宋体" w:cs="宋体"/>
          <w:spacing w:val="-4"/>
          <w:sz w:val="24"/>
          <w:szCs w:val="24"/>
        </w:rPr>
        <w:t>”；</w:t>
      </w:r>
    </w:p>
    <w:p w14:paraId="1B278C76">
      <w:pPr>
        <w:spacing w:before="181" w:line="219" w:lineRule="auto"/>
        <w:ind w:left="737"/>
        <w:rPr>
          <w:rFonts w:ascii="宋体" w:hAnsi="宋体" w:eastAsia="宋体" w:cs="宋体"/>
          <w:sz w:val="24"/>
          <w:szCs w:val="24"/>
        </w:rPr>
      </w:pPr>
      <w:r>
        <w:rPr>
          <w:rFonts w:ascii="Times New Roman" w:hAnsi="Times New Roman" w:eastAsia="Times New Roman" w:cs="Times New Roman"/>
          <w:b/>
          <w:bCs/>
          <w:spacing w:val="-1"/>
          <w:sz w:val="24"/>
          <w:szCs w:val="24"/>
        </w:rPr>
        <w:t>3</w:t>
      </w:r>
      <w:r>
        <w:rPr>
          <w:rFonts w:ascii="宋体" w:hAnsi="宋体" w:eastAsia="宋体" w:cs="宋体"/>
          <w:b/>
          <w:bCs/>
          <w:spacing w:val="-1"/>
          <w:sz w:val="24"/>
          <w:szCs w:val="24"/>
        </w:rPr>
        <w:t>）</w:t>
      </w:r>
      <w:r>
        <w:rPr>
          <w:rFonts w:ascii="宋体" w:hAnsi="宋体" w:eastAsia="宋体" w:cs="宋体"/>
          <w:spacing w:val="-1"/>
          <w:sz w:val="24"/>
          <w:szCs w:val="24"/>
        </w:rPr>
        <w:t>表示允许稍有选择，在条件许可时首先这样做的：</w:t>
      </w:r>
    </w:p>
    <w:p w14:paraId="63614AFE">
      <w:pPr>
        <w:spacing w:before="183" w:line="219" w:lineRule="auto"/>
        <w:ind w:left="988"/>
        <w:rPr>
          <w:rFonts w:ascii="宋体" w:hAnsi="宋体" w:eastAsia="宋体" w:cs="宋体"/>
          <w:sz w:val="24"/>
          <w:szCs w:val="24"/>
        </w:rPr>
      </w:pPr>
      <w:r>
        <w:rPr>
          <w:rFonts w:ascii="宋体" w:hAnsi="宋体" w:eastAsia="宋体" w:cs="宋体"/>
          <w:spacing w:val="-3"/>
          <w:sz w:val="24"/>
          <w:szCs w:val="24"/>
        </w:rPr>
        <w:t>正面词采用“宜</w:t>
      </w:r>
      <w:r>
        <w:rPr>
          <w:rFonts w:ascii="宋体" w:hAnsi="宋体" w:eastAsia="宋体" w:cs="宋体"/>
          <w:spacing w:val="-81"/>
          <w:sz w:val="24"/>
          <w:szCs w:val="24"/>
        </w:rPr>
        <w:t xml:space="preserve"> </w:t>
      </w:r>
      <w:r>
        <w:rPr>
          <w:rFonts w:ascii="宋体" w:hAnsi="宋体" w:eastAsia="宋体" w:cs="宋体"/>
          <w:spacing w:val="-3"/>
          <w:sz w:val="24"/>
          <w:szCs w:val="24"/>
        </w:rPr>
        <w:t>”，反面词采用“不宜</w:t>
      </w:r>
      <w:r>
        <w:rPr>
          <w:rFonts w:ascii="宋体" w:hAnsi="宋体" w:eastAsia="宋体" w:cs="宋体"/>
          <w:spacing w:val="-88"/>
          <w:sz w:val="24"/>
          <w:szCs w:val="24"/>
        </w:rPr>
        <w:t xml:space="preserve"> </w:t>
      </w:r>
      <w:r>
        <w:rPr>
          <w:rFonts w:ascii="宋体" w:hAnsi="宋体" w:eastAsia="宋体" w:cs="宋体"/>
          <w:spacing w:val="-3"/>
          <w:sz w:val="24"/>
          <w:szCs w:val="24"/>
        </w:rPr>
        <w:t>”；</w:t>
      </w:r>
    </w:p>
    <w:p w14:paraId="181AB630">
      <w:pPr>
        <w:spacing w:before="183" w:line="219" w:lineRule="auto"/>
        <w:ind w:left="740"/>
        <w:rPr>
          <w:rFonts w:ascii="宋体" w:hAnsi="宋体" w:eastAsia="宋体" w:cs="宋体"/>
          <w:sz w:val="24"/>
          <w:szCs w:val="24"/>
        </w:rPr>
      </w:pPr>
      <w:r>
        <w:rPr>
          <w:rFonts w:ascii="Times New Roman" w:hAnsi="Times New Roman" w:eastAsia="Times New Roman" w:cs="Times New Roman"/>
          <w:b/>
          <w:bCs/>
          <w:sz w:val="24"/>
          <w:szCs w:val="24"/>
        </w:rPr>
        <w:t>4</w:t>
      </w:r>
      <w:r>
        <w:rPr>
          <w:rFonts w:ascii="宋体" w:hAnsi="宋体" w:eastAsia="宋体" w:cs="宋体"/>
          <w:b/>
          <w:bCs/>
          <w:sz w:val="24"/>
          <w:szCs w:val="24"/>
        </w:rPr>
        <w:t>）</w:t>
      </w:r>
      <w:r>
        <w:rPr>
          <w:rFonts w:ascii="宋体" w:hAnsi="宋体" w:eastAsia="宋体" w:cs="宋体"/>
          <w:sz w:val="24"/>
          <w:szCs w:val="24"/>
        </w:rPr>
        <w:t>表示有选择，在一定条件下可以这样做</w:t>
      </w:r>
      <w:r>
        <w:rPr>
          <w:rFonts w:ascii="宋体" w:hAnsi="宋体" w:eastAsia="宋体" w:cs="宋体"/>
          <w:spacing w:val="-1"/>
          <w:sz w:val="24"/>
          <w:szCs w:val="24"/>
        </w:rPr>
        <w:t>的，可采用“可</w:t>
      </w:r>
      <w:r>
        <w:rPr>
          <w:rFonts w:ascii="宋体" w:hAnsi="宋体" w:eastAsia="宋体" w:cs="宋体"/>
          <w:spacing w:val="-88"/>
          <w:sz w:val="24"/>
          <w:szCs w:val="24"/>
        </w:rPr>
        <w:t xml:space="preserve"> </w:t>
      </w:r>
      <w:r>
        <w:rPr>
          <w:rFonts w:ascii="宋体" w:hAnsi="宋体" w:eastAsia="宋体" w:cs="宋体"/>
          <w:spacing w:val="-1"/>
          <w:sz w:val="24"/>
          <w:szCs w:val="24"/>
        </w:rPr>
        <w:t>”。</w:t>
      </w:r>
    </w:p>
    <w:p w14:paraId="420DB43C">
      <w:pPr>
        <w:spacing w:before="182" w:line="360" w:lineRule="auto"/>
        <w:ind w:left="11" w:right="13" w:firstLine="488"/>
        <w:rPr>
          <w:rFonts w:ascii="宋体" w:hAnsi="宋体" w:eastAsia="宋体" w:cs="宋体"/>
          <w:sz w:val="24"/>
          <w:szCs w:val="24"/>
        </w:rPr>
      </w:pPr>
      <w:r>
        <w:rPr>
          <w:rFonts w:ascii="Times New Roman" w:hAnsi="Times New Roman" w:eastAsia="Times New Roman" w:cs="Times New Roman"/>
          <w:b/>
          <w:bCs/>
          <w:sz w:val="24"/>
          <w:szCs w:val="24"/>
        </w:rPr>
        <w:t xml:space="preserve">2    </w:t>
      </w:r>
      <w:r>
        <w:rPr>
          <w:rFonts w:ascii="宋体" w:hAnsi="宋体" w:eastAsia="宋体" w:cs="宋体"/>
          <w:sz w:val="24"/>
          <w:szCs w:val="24"/>
        </w:rPr>
        <w:t>条文中指明应按其他有关标准执行的写法</w:t>
      </w:r>
      <w:r>
        <w:rPr>
          <w:rFonts w:ascii="宋体" w:hAnsi="宋体" w:eastAsia="宋体" w:cs="宋体"/>
          <w:spacing w:val="-1"/>
          <w:sz w:val="24"/>
          <w:szCs w:val="24"/>
        </w:rPr>
        <w:t>为：“应符合……的规定</w:t>
      </w:r>
      <w:r>
        <w:rPr>
          <w:rFonts w:ascii="宋体" w:hAnsi="宋体" w:eastAsia="宋体" w:cs="宋体"/>
          <w:spacing w:val="-88"/>
          <w:sz w:val="24"/>
          <w:szCs w:val="24"/>
        </w:rPr>
        <w:t xml:space="preserve"> </w:t>
      </w:r>
      <w:r>
        <w:rPr>
          <w:rFonts w:ascii="宋体" w:hAnsi="宋体" w:eastAsia="宋体" w:cs="宋体"/>
          <w:spacing w:val="-1"/>
          <w:sz w:val="24"/>
          <w:szCs w:val="24"/>
        </w:rPr>
        <w:t>”或</w:t>
      </w:r>
      <w:r>
        <w:rPr>
          <w:rFonts w:ascii="宋体" w:hAnsi="宋体" w:eastAsia="宋体" w:cs="宋体"/>
          <w:sz w:val="24"/>
          <w:szCs w:val="24"/>
        </w:rPr>
        <w:t>“应按……执行</w:t>
      </w:r>
      <w:r>
        <w:rPr>
          <w:rFonts w:ascii="宋体" w:hAnsi="宋体" w:eastAsia="宋体" w:cs="宋体"/>
          <w:spacing w:val="-86"/>
          <w:sz w:val="24"/>
          <w:szCs w:val="24"/>
        </w:rPr>
        <w:t xml:space="preserve"> </w:t>
      </w:r>
      <w:r>
        <w:rPr>
          <w:rFonts w:ascii="宋体" w:hAnsi="宋体" w:eastAsia="宋体" w:cs="宋体"/>
          <w:sz w:val="24"/>
          <w:szCs w:val="24"/>
        </w:rPr>
        <w:t>”。</w:t>
      </w:r>
    </w:p>
    <w:p w14:paraId="58F12C3C">
      <w:pPr>
        <w:spacing w:line="360" w:lineRule="auto"/>
        <w:rPr>
          <w:rFonts w:ascii="宋体" w:hAnsi="宋体" w:eastAsia="宋体" w:cs="宋体"/>
          <w:sz w:val="24"/>
          <w:szCs w:val="24"/>
        </w:rPr>
        <w:sectPr>
          <w:pgSz w:w="11906" w:h="16839"/>
          <w:pgMar w:top="400" w:right="1785" w:bottom="1152" w:left="1785" w:header="0" w:footer="987" w:gutter="0"/>
          <w:pgNumType w:fmt="decimal"/>
          <w:cols w:space="720" w:num="1"/>
        </w:sectPr>
      </w:pPr>
    </w:p>
    <w:p w14:paraId="0C69BAC6">
      <w:pPr>
        <w:pStyle w:val="7"/>
        <w:spacing w:line="265" w:lineRule="auto"/>
      </w:pPr>
    </w:p>
    <w:p w14:paraId="429DAE89">
      <w:pPr>
        <w:pStyle w:val="7"/>
        <w:spacing w:line="265" w:lineRule="auto"/>
      </w:pPr>
    </w:p>
    <w:p w14:paraId="192741D7">
      <w:pPr>
        <w:pStyle w:val="7"/>
        <w:spacing w:line="265" w:lineRule="auto"/>
      </w:pPr>
    </w:p>
    <w:p w14:paraId="0FC9549D">
      <w:pPr>
        <w:pStyle w:val="7"/>
        <w:spacing w:line="265" w:lineRule="auto"/>
      </w:pPr>
    </w:p>
    <w:p w14:paraId="19539B0F">
      <w:pPr>
        <w:pStyle w:val="7"/>
        <w:spacing w:line="265" w:lineRule="auto"/>
      </w:pPr>
    </w:p>
    <w:p w14:paraId="7C404DB6">
      <w:pPr>
        <w:spacing w:before="101" w:line="225" w:lineRule="auto"/>
        <w:ind w:left="3239"/>
        <w:outlineLvl w:val="0"/>
        <w:rPr>
          <w:rFonts w:ascii="宋体" w:hAnsi="宋体" w:eastAsia="宋体" w:cs="宋体"/>
          <w:sz w:val="31"/>
          <w:szCs w:val="31"/>
        </w:rPr>
      </w:pPr>
      <w:bookmarkStart w:id="85" w:name="_Toc19037"/>
      <w:r>
        <w:rPr>
          <w:rFonts w:ascii="宋体" w:hAnsi="宋体" w:eastAsia="宋体" w:cs="宋体"/>
          <w:b/>
          <w:bCs/>
          <w:spacing w:val="1"/>
          <w:sz w:val="31"/>
          <w:szCs w:val="31"/>
        </w:rPr>
        <w:t>引用标准名录</w:t>
      </w:r>
      <w:bookmarkEnd w:id="85"/>
    </w:p>
    <w:p w14:paraId="6631F74F">
      <w:pPr>
        <w:pStyle w:val="7"/>
        <w:spacing w:line="298" w:lineRule="auto"/>
      </w:pPr>
    </w:p>
    <w:p w14:paraId="745C03C0">
      <w:pPr>
        <w:pStyle w:val="7"/>
        <w:spacing w:line="298" w:lineRule="auto"/>
      </w:pPr>
    </w:p>
    <w:p w14:paraId="344D6E16">
      <w:pPr>
        <w:spacing w:before="78" w:line="218" w:lineRule="auto"/>
        <w:ind w:left="509"/>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 xml:space="preserve">1    </w:t>
      </w:r>
      <w:r>
        <w:rPr>
          <w:rFonts w:ascii="宋体" w:hAnsi="宋体" w:eastAsia="宋体" w:cs="宋体"/>
          <w:spacing w:val="-1"/>
          <w:sz w:val="24"/>
          <w:szCs w:val="24"/>
        </w:rPr>
        <w:t xml:space="preserve">《环境管理 生命周期评价 原则与框架》 </w:t>
      </w:r>
      <w:r>
        <w:rPr>
          <w:rFonts w:ascii="Times New Roman" w:hAnsi="Times New Roman" w:eastAsia="Times New Roman" w:cs="Times New Roman"/>
          <w:spacing w:val="-1"/>
          <w:sz w:val="24"/>
          <w:szCs w:val="24"/>
        </w:rPr>
        <w:t>GB/T 24040</w:t>
      </w:r>
    </w:p>
    <w:p w14:paraId="41F259CD">
      <w:pPr>
        <w:spacing w:before="184" w:line="218" w:lineRule="auto"/>
        <w:ind w:left="499"/>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    </w:t>
      </w:r>
      <w:r>
        <w:rPr>
          <w:rFonts w:ascii="宋体" w:hAnsi="宋体" w:eastAsia="宋体" w:cs="宋体"/>
          <w:sz w:val="24"/>
          <w:szCs w:val="24"/>
        </w:rPr>
        <w:t>《环境管理 生命周期评价 要求与指南</w:t>
      </w:r>
      <w:r>
        <w:rPr>
          <w:rFonts w:ascii="宋体" w:hAnsi="宋体" w:eastAsia="宋体" w:cs="宋体"/>
          <w:spacing w:val="-1"/>
          <w:sz w:val="24"/>
          <w:szCs w:val="24"/>
        </w:rPr>
        <w:t xml:space="preserve">》 </w:t>
      </w:r>
      <w:r>
        <w:rPr>
          <w:rFonts w:ascii="Times New Roman" w:hAnsi="Times New Roman" w:eastAsia="Times New Roman" w:cs="Times New Roman"/>
          <w:spacing w:val="-1"/>
          <w:sz w:val="24"/>
          <w:szCs w:val="24"/>
        </w:rPr>
        <w:t>GB/T 24044</w:t>
      </w:r>
    </w:p>
    <w:p w14:paraId="1A0F5C3C">
      <w:pPr>
        <w:spacing w:before="182" w:line="218" w:lineRule="auto"/>
        <w:ind w:left="497"/>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 xml:space="preserve">3    </w:t>
      </w:r>
      <w:r>
        <w:rPr>
          <w:rFonts w:ascii="宋体" w:hAnsi="宋体" w:eastAsia="宋体" w:cs="宋体"/>
          <w:spacing w:val="-1"/>
          <w:sz w:val="24"/>
          <w:szCs w:val="24"/>
        </w:rPr>
        <w:t xml:space="preserve">《绿色建筑评价标准》 </w:t>
      </w:r>
      <w:r>
        <w:rPr>
          <w:rFonts w:ascii="Times New Roman" w:hAnsi="Times New Roman" w:eastAsia="Times New Roman" w:cs="Times New Roman"/>
          <w:spacing w:val="-1"/>
          <w:sz w:val="24"/>
          <w:szCs w:val="24"/>
        </w:rPr>
        <w:t>GB/T 50378</w:t>
      </w:r>
    </w:p>
    <w:p w14:paraId="0B04543E">
      <w:pPr>
        <w:spacing w:before="184" w:line="218" w:lineRule="auto"/>
        <w:ind w:left="500"/>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4    </w:t>
      </w:r>
      <w:r>
        <w:rPr>
          <w:rFonts w:ascii="宋体" w:hAnsi="宋体" w:eastAsia="宋体" w:cs="宋体"/>
          <w:sz w:val="24"/>
          <w:szCs w:val="24"/>
        </w:rPr>
        <w:t>《建筑与市政工程绿色施工评价标准</w:t>
      </w:r>
      <w:r>
        <w:rPr>
          <w:rFonts w:ascii="宋体" w:hAnsi="宋体" w:eastAsia="宋体" w:cs="宋体"/>
          <w:spacing w:val="-1"/>
          <w:sz w:val="24"/>
          <w:szCs w:val="24"/>
        </w:rPr>
        <w:t xml:space="preserve">》 </w:t>
      </w:r>
      <w:r>
        <w:rPr>
          <w:rFonts w:ascii="Times New Roman" w:hAnsi="Times New Roman" w:eastAsia="Times New Roman" w:cs="Times New Roman"/>
          <w:spacing w:val="-1"/>
          <w:sz w:val="24"/>
          <w:szCs w:val="24"/>
        </w:rPr>
        <w:t>GB/T 50640</w:t>
      </w:r>
    </w:p>
    <w:p w14:paraId="1376FF68">
      <w:pPr>
        <w:spacing w:before="182" w:line="218" w:lineRule="auto"/>
        <w:ind w:left="502"/>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 xml:space="preserve">5    </w:t>
      </w:r>
      <w:r>
        <w:rPr>
          <w:rFonts w:ascii="宋体" w:hAnsi="宋体" w:eastAsia="宋体" w:cs="宋体"/>
          <w:spacing w:val="-1"/>
          <w:sz w:val="24"/>
          <w:szCs w:val="24"/>
        </w:rPr>
        <w:t xml:space="preserve">《绿色工业建筑评价标准》 </w:t>
      </w:r>
      <w:r>
        <w:rPr>
          <w:rFonts w:ascii="Times New Roman" w:hAnsi="Times New Roman" w:eastAsia="Times New Roman" w:cs="Times New Roman"/>
          <w:spacing w:val="-1"/>
          <w:sz w:val="24"/>
          <w:szCs w:val="24"/>
        </w:rPr>
        <w:t>GB/T 50878</w:t>
      </w:r>
    </w:p>
    <w:p w14:paraId="5401F307">
      <w:pPr>
        <w:spacing w:before="185" w:line="219" w:lineRule="auto"/>
        <w:ind w:left="502"/>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 xml:space="preserve">6    </w:t>
      </w:r>
      <w:r>
        <w:rPr>
          <w:rFonts w:ascii="宋体" w:hAnsi="宋体" w:eastAsia="宋体" w:cs="宋体"/>
          <w:spacing w:val="-1"/>
          <w:sz w:val="24"/>
          <w:szCs w:val="24"/>
        </w:rPr>
        <w:t xml:space="preserve">《近零能耗建筑技术标准》 </w:t>
      </w:r>
      <w:r>
        <w:rPr>
          <w:rFonts w:ascii="Times New Roman" w:hAnsi="Times New Roman" w:eastAsia="Times New Roman" w:cs="Times New Roman"/>
          <w:spacing w:val="-1"/>
          <w:sz w:val="24"/>
          <w:szCs w:val="24"/>
        </w:rPr>
        <w:t>GB/T 51350</w:t>
      </w:r>
    </w:p>
    <w:p w14:paraId="12FF6A94">
      <w:pPr>
        <w:spacing w:before="181" w:line="219" w:lineRule="auto"/>
        <w:ind w:left="502"/>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 xml:space="preserve">7    </w:t>
      </w:r>
      <w:r>
        <w:rPr>
          <w:rFonts w:ascii="宋体" w:hAnsi="宋体" w:eastAsia="宋体" w:cs="宋体"/>
          <w:spacing w:val="-1"/>
          <w:sz w:val="24"/>
          <w:szCs w:val="24"/>
        </w:rPr>
        <w:t xml:space="preserve">《建筑碳排放计算标准》 </w:t>
      </w:r>
      <w:r>
        <w:rPr>
          <w:rFonts w:ascii="Times New Roman" w:hAnsi="Times New Roman" w:eastAsia="Times New Roman" w:cs="Times New Roman"/>
          <w:spacing w:val="-1"/>
          <w:sz w:val="24"/>
          <w:szCs w:val="24"/>
        </w:rPr>
        <w:t>GB/T 51366</w:t>
      </w:r>
    </w:p>
    <w:p w14:paraId="261AEE00">
      <w:pPr>
        <w:spacing w:before="183" w:line="220" w:lineRule="auto"/>
        <w:ind w:left="502"/>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8    </w:t>
      </w:r>
      <w:r>
        <w:rPr>
          <w:rFonts w:ascii="宋体" w:hAnsi="宋体" w:eastAsia="宋体" w:cs="宋体"/>
          <w:sz w:val="24"/>
          <w:szCs w:val="24"/>
        </w:rPr>
        <w:t>《建筑节能与可再生能源利用通用规范</w:t>
      </w:r>
      <w:r>
        <w:rPr>
          <w:rFonts w:ascii="宋体" w:hAnsi="宋体" w:eastAsia="宋体" w:cs="宋体"/>
          <w:spacing w:val="-1"/>
          <w:sz w:val="24"/>
          <w:szCs w:val="24"/>
        </w:rPr>
        <w:t xml:space="preserve">》 </w:t>
      </w:r>
      <w:r>
        <w:rPr>
          <w:rFonts w:ascii="Times New Roman" w:hAnsi="Times New Roman" w:eastAsia="Times New Roman" w:cs="Times New Roman"/>
          <w:spacing w:val="-1"/>
          <w:sz w:val="24"/>
          <w:szCs w:val="24"/>
        </w:rPr>
        <w:t>GB 55015</w:t>
      </w:r>
    </w:p>
    <w:p w14:paraId="4C56F30F">
      <w:pPr>
        <w:spacing w:before="182" w:line="218" w:lineRule="auto"/>
        <w:ind w:left="501"/>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 xml:space="preserve">9    </w:t>
      </w:r>
      <w:r>
        <w:rPr>
          <w:rFonts w:ascii="宋体" w:hAnsi="宋体" w:eastAsia="宋体" w:cs="宋体"/>
          <w:spacing w:val="-1"/>
          <w:sz w:val="24"/>
          <w:szCs w:val="24"/>
        </w:rPr>
        <w:t xml:space="preserve">《低碳建筑评价标准》 </w:t>
      </w:r>
      <w:r>
        <w:rPr>
          <w:rFonts w:ascii="Times New Roman" w:hAnsi="Times New Roman" w:eastAsia="Times New Roman" w:cs="Times New Roman"/>
          <w:spacing w:val="-1"/>
          <w:sz w:val="24"/>
          <w:szCs w:val="24"/>
        </w:rPr>
        <w:t>T/CSUS60</w:t>
      </w:r>
    </w:p>
    <w:p w14:paraId="46AE123F">
      <w:pPr>
        <w:spacing w:before="182" w:line="218" w:lineRule="auto"/>
        <w:ind w:left="509"/>
        <w:rPr>
          <w:rFonts w:ascii="Times New Roman" w:hAnsi="Times New Roman" w:eastAsia="Times New Roman" w:cs="Times New Roman"/>
          <w:sz w:val="24"/>
          <w:szCs w:val="24"/>
        </w:rPr>
      </w:pPr>
      <w:r>
        <w:rPr>
          <w:rFonts w:ascii="Times New Roman" w:hAnsi="Times New Roman" w:eastAsia="Times New Roman" w:cs="Times New Roman"/>
          <w:b/>
          <w:bCs/>
          <w:spacing w:val="-2"/>
          <w:sz w:val="24"/>
          <w:szCs w:val="24"/>
        </w:rPr>
        <w:t xml:space="preserve">10  </w:t>
      </w:r>
      <w:r>
        <w:rPr>
          <w:rFonts w:ascii="宋体" w:hAnsi="宋体" w:eastAsia="宋体" w:cs="宋体"/>
          <w:spacing w:val="-2"/>
          <w:sz w:val="24"/>
          <w:szCs w:val="24"/>
        </w:rPr>
        <w:t xml:space="preserve">《建筑工程绿色建造评价标准》 </w:t>
      </w:r>
      <w:r>
        <w:rPr>
          <w:rFonts w:ascii="Times New Roman" w:hAnsi="Times New Roman" w:eastAsia="Times New Roman" w:cs="Times New Roman"/>
          <w:spacing w:val="-2"/>
          <w:sz w:val="24"/>
          <w:szCs w:val="24"/>
        </w:rPr>
        <w:t>T/CCIAT 0048</w:t>
      </w:r>
    </w:p>
    <w:p w14:paraId="4D788250">
      <w:pPr>
        <w:pStyle w:val="7"/>
        <w:spacing w:line="278" w:lineRule="auto"/>
      </w:pPr>
    </w:p>
    <w:p w14:paraId="3231C819">
      <w:pPr>
        <w:pStyle w:val="7"/>
        <w:spacing w:line="278" w:lineRule="auto"/>
      </w:pPr>
    </w:p>
    <w:p w14:paraId="70C2A38F">
      <w:pPr>
        <w:pStyle w:val="7"/>
        <w:spacing w:line="278" w:lineRule="auto"/>
      </w:pPr>
    </w:p>
    <w:p w14:paraId="6CE62CE7">
      <w:pPr>
        <w:pStyle w:val="7"/>
        <w:spacing w:line="278" w:lineRule="auto"/>
      </w:pPr>
    </w:p>
    <w:p w14:paraId="779FDD49">
      <w:pPr>
        <w:pStyle w:val="7"/>
        <w:spacing w:line="279" w:lineRule="auto"/>
      </w:pPr>
    </w:p>
    <w:p w14:paraId="2ABB3DB1">
      <w:pPr>
        <w:pStyle w:val="7"/>
        <w:spacing w:line="279" w:lineRule="auto"/>
      </w:pPr>
      <w:r>
        <w:br w:type="page"/>
      </w:r>
    </w:p>
    <w:p w14:paraId="25062EF8">
      <w:pPr>
        <w:pStyle w:val="7"/>
        <w:spacing w:line="279" w:lineRule="auto"/>
      </w:pPr>
    </w:p>
    <w:p w14:paraId="6E714961">
      <w:pPr>
        <w:pStyle w:val="7"/>
        <w:spacing w:line="279" w:lineRule="auto"/>
      </w:pPr>
    </w:p>
    <w:p w14:paraId="5A6C5D20">
      <w:pPr>
        <w:snapToGrid/>
        <w:spacing w:before="114" w:after="0" w:line="223" w:lineRule="auto"/>
        <w:ind w:left="2233" w:right="0"/>
        <w:rPr>
          <w:rFonts w:ascii="宋体" w:hAnsi="宋体" w:eastAsia="宋体" w:cs="宋体"/>
          <w:i w:val="0"/>
          <w:strike w:val="0"/>
          <w:color w:val="000000"/>
          <w:spacing w:val="5"/>
          <w:sz w:val="35"/>
          <w:u w:val="none"/>
        </w:rPr>
      </w:pPr>
    </w:p>
    <w:p w14:paraId="2BEFC77B">
      <w:pPr>
        <w:snapToGrid/>
        <w:spacing w:before="114" w:after="0" w:line="223" w:lineRule="auto"/>
        <w:ind w:left="2233" w:right="0"/>
        <w:rPr>
          <w:rFonts w:ascii="宋体" w:hAnsi="宋体" w:eastAsia="宋体" w:cs="宋体"/>
          <w:i w:val="0"/>
          <w:strike w:val="0"/>
          <w:color w:val="000000"/>
          <w:spacing w:val="5"/>
          <w:sz w:val="35"/>
          <w:u w:val="none"/>
        </w:rPr>
      </w:pPr>
    </w:p>
    <w:p w14:paraId="27E8FCD1">
      <w:pPr>
        <w:snapToGrid/>
        <w:spacing w:before="114" w:after="0" w:line="223" w:lineRule="auto"/>
        <w:ind w:left="2233" w:right="0"/>
        <w:rPr>
          <w:rFonts w:ascii="宋体" w:hAnsi="宋体" w:eastAsia="宋体" w:cs="宋体"/>
          <w:i w:val="0"/>
          <w:strike w:val="0"/>
          <w:color w:val="000000"/>
          <w:spacing w:val="5"/>
          <w:sz w:val="35"/>
          <w:u w:val="none"/>
        </w:rPr>
      </w:pPr>
    </w:p>
    <w:p w14:paraId="0D11249B">
      <w:pPr>
        <w:snapToGrid/>
        <w:spacing w:before="114" w:after="0" w:line="223" w:lineRule="auto"/>
        <w:ind w:left="2233" w:right="0"/>
      </w:pPr>
      <w:r>
        <w:rPr>
          <w:rFonts w:ascii="宋体" w:hAnsi="宋体" w:eastAsia="宋体" w:cs="宋体"/>
          <w:i w:val="0"/>
          <w:strike w:val="0"/>
          <w:color w:val="000000"/>
          <w:spacing w:val="5"/>
          <w:sz w:val="35"/>
          <w:u w:val="none"/>
        </w:rPr>
        <w:t>中国建筑业协会团体标准</w:t>
      </w:r>
    </w:p>
    <w:p w14:paraId="232D5B60">
      <w:pPr>
        <w:snapToGrid/>
        <w:spacing w:before="0" w:after="0" w:line="319" w:lineRule="auto"/>
        <w:ind w:left="0" w:right="0"/>
      </w:pPr>
      <w:r>
        <w:rPr>
          <w:rFonts w:ascii="Arial" w:hAnsi="Arial" w:cs="Arial"/>
          <w:i w:val="0"/>
          <w:strike w:val="0"/>
          <w:color w:val="000000"/>
          <w:sz w:val="21"/>
          <w:u w:val="none"/>
        </w:rPr>
        <w:t> </w:t>
      </w:r>
    </w:p>
    <w:p w14:paraId="476E6A5D">
      <w:pPr>
        <w:snapToGrid/>
        <w:spacing w:before="0" w:after="0" w:line="319" w:lineRule="auto"/>
        <w:ind w:left="0" w:right="0"/>
      </w:pPr>
      <w:r>
        <w:rPr>
          <w:rFonts w:ascii="Arial" w:hAnsi="Arial" w:cs="Arial"/>
          <w:i w:val="0"/>
          <w:strike w:val="0"/>
          <w:color w:val="000000"/>
          <w:sz w:val="21"/>
          <w:u w:val="none"/>
        </w:rPr>
        <w:t> </w:t>
      </w:r>
    </w:p>
    <w:p w14:paraId="6B2231CA">
      <w:pPr>
        <w:pStyle w:val="2"/>
        <w:snapToGrid/>
        <w:spacing w:before="140" w:after="0" w:line="223" w:lineRule="auto"/>
        <w:ind w:left="1984" w:right="0"/>
      </w:pPr>
      <w:bookmarkStart w:id="86" w:name="_Toc32561"/>
      <w:r>
        <w:rPr>
          <w:rFonts w:ascii="黑体" w:hAnsi="黑体" w:eastAsia="黑体" w:cs="黑体"/>
          <w:i w:val="0"/>
          <w:strike w:val="0"/>
          <w:color w:val="000000"/>
          <w:spacing w:val="8"/>
          <w:sz w:val="43"/>
          <w:u w:val="none"/>
        </w:rPr>
        <w:t>零碳建筑施工技术标准</w:t>
      </w:r>
      <w:bookmarkEnd w:id="86"/>
    </w:p>
    <w:p w14:paraId="767E0C7D">
      <w:pPr>
        <w:snapToGrid/>
        <w:spacing w:before="81" w:after="0" w:line="192" w:lineRule="auto"/>
        <w:ind w:left="0" w:right="0" w:firstLine="2240" w:firstLineChars="800"/>
      </w:pPr>
      <w:r>
        <w:rPr>
          <w:rFonts w:ascii="Times New Roman" w:hAnsi="Times New Roman" w:cs="Times New Roman"/>
          <w:i w:val="0"/>
          <w:strike w:val="0"/>
          <w:color w:val="000000"/>
          <w:sz w:val="28"/>
          <w:u w:val="none"/>
        </w:rPr>
        <w:t xml:space="preserve">Zero carbon construction technical standard </w:t>
      </w:r>
    </w:p>
    <w:p w14:paraId="2BF2D3A3">
      <w:pPr>
        <w:snapToGrid/>
        <w:spacing w:before="81" w:after="0" w:line="192" w:lineRule="auto"/>
        <w:ind w:left="0" w:right="0" w:firstLine="3920" w:firstLineChars="1400"/>
      </w:pPr>
      <w:r>
        <w:rPr>
          <w:rFonts w:ascii="Times New Roman" w:hAnsi="Times New Roman" w:cs="Times New Roman"/>
          <w:i w:val="0"/>
          <w:strike w:val="0"/>
          <w:color w:val="000000"/>
          <w:sz w:val="28"/>
          <w:u w:val="none"/>
        </w:rPr>
        <w:t>for buildings</w:t>
      </w:r>
    </w:p>
    <w:p w14:paraId="23FB3295">
      <w:pPr>
        <w:snapToGrid/>
        <w:spacing w:before="324" w:after="0" w:line="218" w:lineRule="auto"/>
        <w:ind w:left="3567" w:right="0"/>
      </w:pPr>
      <w:r>
        <w:rPr>
          <w:rFonts w:ascii="宋体" w:hAnsi="宋体" w:eastAsia="宋体" w:cs="宋体"/>
          <w:i w:val="0"/>
          <w:strike w:val="0"/>
          <w:color w:val="000000"/>
          <w:spacing w:val="-4"/>
          <w:sz w:val="28"/>
          <w:u w:val="none"/>
        </w:rPr>
        <w:t>条文说明</w:t>
      </w:r>
    </w:p>
    <w:p w14:paraId="3A58C358">
      <w:pPr>
        <w:snapToGrid/>
        <w:spacing w:line="218" w:lineRule="auto"/>
      </w:pPr>
    </w:p>
    <w:p w14:paraId="04ADBACF">
      <w:pPr>
        <w:snapToGrid/>
        <w:spacing w:before="0" w:after="0" w:line="264" w:lineRule="auto"/>
        <w:ind w:left="0" w:right="0"/>
      </w:pPr>
      <w:r>
        <w:rPr>
          <w:rFonts w:ascii="Arial" w:hAnsi="Arial" w:cs="Arial"/>
          <w:i w:val="0"/>
          <w:strike w:val="0"/>
          <w:color w:val="000000"/>
          <w:sz w:val="21"/>
          <w:u w:val="none"/>
        </w:rPr>
        <w:t> </w:t>
      </w:r>
    </w:p>
    <w:p w14:paraId="1E86A2D8">
      <w:pPr>
        <w:snapToGrid/>
        <w:spacing w:before="0" w:after="0" w:line="264" w:lineRule="auto"/>
        <w:ind w:left="0" w:right="0"/>
      </w:pPr>
      <w:r>
        <w:rPr>
          <w:rFonts w:ascii="Arial" w:hAnsi="Arial" w:cs="Arial"/>
          <w:i w:val="0"/>
          <w:strike w:val="0"/>
          <w:color w:val="000000"/>
          <w:sz w:val="21"/>
          <w:u w:val="none"/>
        </w:rPr>
        <w:t> </w:t>
      </w:r>
    </w:p>
    <w:p w14:paraId="1CDF76CE">
      <w:pPr>
        <w:snapToGrid/>
        <w:spacing w:before="0" w:after="0" w:line="264" w:lineRule="auto"/>
        <w:ind w:left="0" w:right="0"/>
      </w:pPr>
      <w:r>
        <w:rPr>
          <w:rFonts w:ascii="Arial" w:hAnsi="Arial" w:cs="Arial"/>
          <w:i w:val="0"/>
          <w:strike w:val="0"/>
          <w:color w:val="000000"/>
          <w:sz w:val="21"/>
          <w:u w:val="none"/>
        </w:rPr>
        <w:t> </w:t>
      </w:r>
    </w:p>
    <w:p w14:paraId="73BAA1F5">
      <w:pPr>
        <w:snapToGrid/>
        <w:spacing w:before="0" w:after="0" w:line="264" w:lineRule="auto"/>
        <w:ind w:left="0" w:right="0"/>
      </w:pPr>
      <w:r>
        <w:rPr>
          <w:rFonts w:ascii="Arial" w:hAnsi="Arial" w:cs="Arial"/>
          <w:i w:val="0"/>
          <w:strike w:val="0"/>
          <w:color w:val="000000"/>
          <w:sz w:val="21"/>
          <w:u w:val="none"/>
        </w:rPr>
        <w:t> </w:t>
      </w:r>
    </w:p>
    <w:p w14:paraId="7166F77C">
      <w:pPr>
        <w:snapToGrid/>
        <w:spacing w:before="0" w:after="0" w:line="264" w:lineRule="auto"/>
        <w:ind w:left="0" w:right="0"/>
      </w:pPr>
      <w:r>
        <w:rPr>
          <w:rFonts w:ascii="Arial" w:hAnsi="Arial" w:cs="Arial"/>
          <w:i w:val="0"/>
          <w:strike w:val="0"/>
          <w:color w:val="000000"/>
          <w:sz w:val="21"/>
          <w:u w:val="none"/>
        </w:rPr>
        <w:t> </w:t>
      </w:r>
    </w:p>
    <w:p w14:paraId="59A256C8">
      <w:pPr>
        <w:pStyle w:val="2"/>
        <w:snapToGrid/>
        <w:spacing w:before="101" w:after="0" w:line="223" w:lineRule="auto"/>
        <w:ind w:left="3536" w:right="0"/>
      </w:pPr>
      <w:bookmarkStart w:id="87" w:name="_Toc23164"/>
      <w:r>
        <w:rPr>
          <w:rFonts w:ascii="宋体" w:hAnsi="宋体" w:eastAsia="宋体" w:cs="宋体"/>
          <w:b/>
          <w:i w:val="0"/>
          <w:strike w:val="0"/>
          <w:color w:val="000000"/>
          <w:spacing w:val="4"/>
          <w:sz w:val="31"/>
          <w:u w:val="none"/>
        </w:rPr>
        <w:t>制订说明</w:t>
      </w:r>
      <w:bookmarkEnd w:id="87"/>
    </w:p>
    <w:p w14:paraId="7BB78705">
      <w:pPr>
        <w:snapToGrid/>
        <w:spacing w:before="0" w:after="0" w:line="298" w:lineRule="auto"/>
        <w:ind w:left="0" w:right="0"/>
      </w:pPr>
      <w:r>
        <w:rPr>
          <w:rFonts w:ascii="Arial" w:hAnsi="Arial" w:cs="Arial"/>
          <w:i w:val="0"/>
          <w:strike w:val="0"/>
          <w:color w:val="000000"/>
          <w:sz w:val="21"/>
          <w:u w:val="none"/>
        </w:rPr>
        <w:t> </w:t>
      </w:r>
    </w:p>
    <w:p w14:paraId="7B72F0B0">
      <w:pPr>
        <w:snapToGrid/>
        <w:spacing w:before="0" w:after="0" w:line="298" w:lineRule="auto"/>
        <w:ind w:left="0" w:right="0"/>
      </w:pPr>
      <w:r>
        <w:rPr>
          <w:rFonts w:ascii="Arial" w:hAnsi="Arial" w:cs="Arial"/>
          <w:i w:val="0"/>
          <w:strike w:val="0"/>
          <w:color w:val="000000"/>
          <w:sz w:val="21"/>
          <w:u w:val="none"/>
        </w:rPr>
        <w:t> </w:t>
      </w:r>
    </w:p>
    <w:p w14:paraId="544278A6">
      <w:pPr>
        <w:snapToGrid/>
        <w:spacing w:before="78" w:after="0" w:line="358" w:lineRule="auto"/>
        <w:ind w:left="57" w:right="80" w:firstLine="452"/>
      </w:pPr>
      <w:r>
        <w:rPr>
          <w:rFonts w:ascii="宋体" w:hAnsi="宋体" w:eastAsia="宋体" w:cs="宋体"/>
          <w:i w:val="0"/>
          <w:strike w:val="0"/>
          <w:color w:val="000000"/>
          <w:spacing w:val="-3"/>
          <w:sz w:val="24"/>
          <w:u w:val="none"/>
        </w:rPr>
        <w:t>《零碳建筑施工技术标准》（</w:t>
      </w:r>
      <w:r>
        <w:rPr>
          <w:rFonts w:ascii="Times New Roman" w:hAnsi="Times New Roman" w:cs="Times New Roman"/>
          <w:i w:val="0"/>
          <w:strike w:val="0"/>
          <w:color w:val="000000"/>
          <w:spacing w:val="-3"/>
          <w:sz w:val="24"/>
          <w:u w:val="none"/>
        </w:rPr>
        <w:t>T/CCIAT xxxx</w:t>
      </w:r>
      <w:r>
        <w:rPr>
          <w:rFonts w:ascii="宋体" w:hAnsi="宋体" w:eastAsia="宋体" w:cs="宋体"/>
          <w:i w:val="0"/>
          <w:strike w:val="0"/>
          <w:color w:val="000000"/>
          <w:spacing w:val="-3"/>
          <w:sz w:val="24"/>
          <w:u w:val="none"/>
        </w:rPr>
        <w:t>—</w:t>
      </w:r>
      <w:r>
        <w:rPr>
          <w:rFonts w:ascii="Times New Roman" w:hAnsi="Times New Roman" w:cs="Times New Roman"/>
          <w:i w:val="0"/>
          <w:strike w:val="0"/>
          <w:color w:val="000000"/>
          <w:spacing w:val="-3"/>
          <w:sz w:val="24"/>
          <w:u w:val="none"/>
        </w:rPr>
        <w:t>20xx</w:t>
      </w:r>
      <w:r>
        <w:rPr>
          <w:rFonts w:ascii="宋体" w:hAnsi="宋体" w:eastAsia="宋体" w:cs="宋体"/>
          <w:i w:val="0"/>
          <w:strike w:val="0"/>
          <w:color w:val="000000"/>
          <w:spacing w:val="-14"/>
          <w:sz w:val="24"/>
          <w:u w:val="none"/>
        </w:rPr>
        <w:t>），</w:t>
      </w:r>
      <w:r>
        <w:rPr>
          <w:rFonts w:ascii="宋体" w:hAnsi="宋体" w:eastAsia="宋体" w:cs="宋体"/>
          <w:i w:val="0"/>
          <w:strike w:val="0"/>
          <w:color w:val="000000"/>
          <w:spacing w:val="-3"/>
          <w:sz w:val="24"/>
          <w:u w:val="none"/>
        </w:rPr>
        <w:t>经中国建筑业协会×</w:t>
      </w:r>
      <w:r>
        <w:rPr>
          <w:rFonts w:ascii="宋体" w:hAnsi="宋体" w:eastAsia="宋体" w:cs="宋体"/>
          <w:i w:val="0"/>
          <w:strike w:val="0"/>
          <w:color w:val="000000"/>
          <w:spacing w:val="1"/>
          <w:sz w:val="24"/>
          <w:u w:val="none"/>
        </w:rPr>
        <w:t xml:space="preserve"> </w:t>
      </w:r>
      <w:r>
        <w:rPr>
          <w:rFonts w:ascii="宋体" w:hAnsi="宋体" w:eastAsia="宋体" w:cs="宋体"/>
          <w:i w:val="0"/>
          <w:strike w:val="0"/>
          <w:color w:val="000000"/>
          <w:spacing w:val="-11"/>
          <w:sz w:val="24"/>
          <w:u w:val="none"/>
        </w:rPr>
        <w:t>×</w:t>
      </w:r>
      <w:r>
        <w:rPr>
          <w:rFonts w:ascii="宋体" w:hAnsi="宋体" w:eastAsia="宋体" w:cs="宋体"/>
          <w:i w:val="0"/>
          <w:strike w:val="0"/>
          <w:color w:val="000000"/>
          <w:spacing w:val="-60"/>
          <w:sz w:val="24"/>
          <w:u w:val="none"/>
        </w:rPr>
        <w:t xml:space="preserve"> </w:t>
      </w:r>
      <w:r>
        <w:rPr>
          <w:rFonts w:ascii="宋体" w:hAnsi="宋体" w:eastAsia="宋体" w:cs="宋体"/>
          <w:i w:val="0"/>
          <w:strike w:val="0"/>
          <w:color w:val="000000"/>
          <w:spacing w:val="-11"/>
          <w:sz w:val="24"/>
          <w:u w:val="none"/>
        </w:rPr>
        <w:t>×</w:t>
      </w:r>
      <w:r>
        <w:rPr>
          <w:rFonts w:ascii="宋体" w:hAnsi="宋体" w:eastAsia="宋体" w:cs="宋体"/>
          <w:i w:val="0"/>
          <w:strike w:val="0"/>
          <w:color w:val="000000"/>
          <w:spacing w:val="-77"/>
          <w:sz w:val="24"/>
          <w:u w:val="none"/>
        </w:rPr>
        <w:t xml:space="preserve"> </w:t>
      </w:r>
      <w:r>
        <w:rPr>
          <w:rFonts w:ascii="宋体" w:hAnsi="宋体" w:eastAsia="宋体" w:cs="宋体"/>
          <w:i w:val="0"/>
          <w:strike w:val="0"/>
          <w:color w:val="000000"/>
          <w:spacing w:val="-11"/>
          <w:sz w:val="24"/>
          <w:u w:val="none"/>
        </w:rPr>
        <w:t>×年××月×</w:t>
      </w:r>
      <w:r>
        <w:rPr>
          <w:rFonts w:ascii="宋体" w:hAnsi="宋体" w:eastAsia="宋体" w:cs="宋体"/>
          <w:i w:val="0"/>
          <w:strike w:val="0"/>
          <w:color w:val="000000"/>
          <w:spacing w:val="-76"/>
          <w:sz w:val="24"/>
          <w:u w:val="none"/>
        </w:rPr>
        <w:t xml:space="preserve"> </w:t>
      </w:r>
      <w:r>
        <w:rPr>
          <w:rFonts w:ascii="宋体" w:hAnsi="宋体" w:eastAsia="宋体" w:cs="宋体"/>
          <w:i w:val="0"/>
          <w:strike w:val="0"/>
          <w:color w:val="000000"/>
          <w:spacing w:val="-11"/>
          <w:sz w:val="24"/>
          <w:u w:val="none"/>
        </w:rPr>
        <w:t>×</w:t>
      </w:r>
      <w:r>
        <w:rPr>
          <w:rFonts w:ascii="宋体" w:hAnsi="宋体" w:eastAsia="宋体" w:cs="宋体"/>
          <w:i w:val="0"/>
          <w:strike w:val="0"/>
          <w:color w:val="000000"/>
          <w:spacing w:val="-70"/>
          <w:sz w:val="24"/>
          <w:u w:val="none"/>
        </w:rPr>
        <w:t xml:space="preserve"> </w:t>
      </w:r>
      <w:r>
        <w:rPr>
          <w:rFonts w:ascii="宋体" w:hAnsi="宋体" w:eastAsia="宋体" w:cs="宋体"/>
          <w:i w:val="0"/>
          <w:strike w:val="0"/>
          <w:color w:val="000000"/>
          <w:spacing w:val="-11"/>
          <w:sz w:val="24"/>
          <w:u w:val="none"/>
        </w:rPr>
        <w:t>日以第××号公告批准发布。</w:t>
      </w:r>
    </w:p>
    <w:p w14:paraId="43B4DC8E">
      <w:pPr>
        <w:snapToGrid/>
        <w:spacing w:before="1" w:after="0" w:line="358" w:lineRule="auto"/>
        <w:ind w:left="25" w:right="0" w:firstLine="479"/>
        <w:jc w:val="both"/>
      </w:pPr>
      <w:r>
        <w:rPr>
          <w:rFonts w:ascii="宋体" w:hAnsi="宋体" w:eastAsia="宋体" w:cs="宋体"/>
          <w:i w:val="0"/>
          <w:strike w:val="0"/>
          <w:color w:val="000000"/>
          <w:spacing w:val="-3"/>
          <w:sz w:val="24"/>
          <w:u w:val="none"/>
        </w:rPr>
        <w:t>本规程制订过程中，编制组进行了广泛的调查研究，总结了我</w:t>
      </w:r>
      <w:r>
        <w:rPr>
          <w:rFonts w:ascii="宋体" w:hAnsi="宋体" w:eastAsia="宋体" w:cs="宋体"/>
          <w:i w:val="0"/>
          <w:strike w:val="0"/>
          <w:color w:val="000000"/>
          <w:spacing w:val="-4"/>
          <w:sz w:val="24"/>
          <w:u w:val="none"/>
        </w:rPr>
        <w:t>国减碳施工要</w:t>
      </w:r>
      <w:r>
        <w:rPr>
          <w:rFonts w:ascii="宋体" w:hAnsi="宋体" w:eastAsia="宋体" w:cs="宋体"/>
          <w:i w:val="0"/>
          <w:strike w:val="0"/>
          <w:color w:val="000000"/>
          <w:spacing w:val="-7"/>
          <w:sz w:val="24"/>
          <w:u w:val="none"/>
        </w:rPr>
        <w:t>求、建筑施工碳排放计算、绿色低碳建造评价的实</w:t>
      </w:r>
      <w:r>
        <w:rPr>
          <w:rFonts w:ascii="宋体" w:hAnsi="宋体" w:eastAsia="宋体" w:cs="宋体"/>
          <w:i w:val="0"/>
          <w:strike w:val="0"/>
          <w:color w:val="000000"/>
          <w:spacing w:val="-8"/>
          <w:sz w:val="24"/>
          <w:u w:val="none"/>
        </w:rPr>
        <w:t>践经验，以及相关的评价标准。</w:t>
      </w:r>
      <w:r>
        <w:rPr>
          <w:rFonts w:ascii="宋体" w:hAnsi="宋体" w:eastAsia="宋体" w:cs="宋体"/>
          <w:i w:val="0"/>
          <w:strike w:val="0"/>
          <w:color w:val="000000"/>
          <w:spacing w:val="-1"/>
          <w:sz w:val="24"/>
          <w:u w:val="none"/>
        </w:rPr>
        <w:t>同时参考了国外先进技术法规、技术标准。</w:t>
      </w:r>
    </w:p>
    <w:p w14:paraId="1B7C497B">
      <w:pPr>
        <w:snapToGrid/>
        <w:spacing w:before="5" w:after="0" w:line="358" w:lineRule="auto"/>
        <w:ind w:left="26" w:right="80" w:firstLine="480"/>
        <w:jc w:val="both"/>
      </w:pPr>
      <w:r>
        <w:rPr>
          <w:rFonts w:ascii="宋体" w:hAnsi="宋体" w:eastAsia="宋体" w:cs="宋体"/>
          <w:i w:val="0"/>
          <w:strike w:val="0"/>
          <w:color w:val="000000"/>
          <w:spacing w:val="-3"/>
          <w:sz w:val="24"/>
          <w:u w:val="none"/>
        </w:rPr>
        <w:t>为便于广大设计、施工、科研、学校等单位有关人</w:t>
      </w:r>
      <w:r>
        <w:rPr>
          <w:rFonts w:ascii="宋体" w:hAnsi="宋体" w:eastAsia="宋体" w:cs="宋体"/>
          <w:i w:val="0"/>
          <w:strike w:val="0"/>
          <w:color w:val="000000"/>
          <w:spacing w:val="-4"/>
          <w:sz w:val="24"/>
          <w:u w:val="none"/>
        </w:rPr>
        <w:t>员在使用本规程时能正确</w:t>
      </w:r>
      <w:r>
        <w:rPr>
          <w:rFonts w:ascii="宋体" w:hAnsi="宋体" w:eastAsia="宋体" w:cs="宋体"/>
          <w:i w:val="0"/>
          <w:strike w:val="0"/>
          <w:color w:val="000000"/>
          <w:spacing w:val="-3"/>
          <w:sz w:val="24"/>
          <w:u w:val="none"/>
        </w:rPr>
        <w:t>理解和执行条文规定，《零碳建筑施工技术标准》编制组按章、节、条顺序</w:t>
      </w:r>
      <w:r>
        <w:rPr>
          <w:rFonts w:ascii="宋体" w:hAnsi="宋体" w:eastAsia="宋体" w:cs="宋体"/>
          <w:i w:val="0"/>
          <w:strike w:val="0"/>
          <w:color w:val="000000"/>
          <w:spacing w:val="-4"/>
          <w:sz w:val="24"/>
          <w:u w:val="none"/>
        </w:rPr>
        <w:t>编制</w:t>
      </w:r>
      <w:r>
        <w:rPr>
          <w:rFonts w:ascii="宋体" w:hAnsi="宋体" w:eastAsia="宋体" w:cs="宋体"/>
          <w:i w:val="0"/>
          <w:strike w:val="0"/>
          <w:color w:val="000000"/>
          <w:spacing w:val="-3"/>
          <w:sz w:val="24"/>
          <w:u w:val="none"/>
        </w:rPr>
        <w:t>了本规程的条文说明，对条文规定的目的、依据以及执行中需注意的有关事</w:t>
      </w:r>
      <w:r>
        <w:rPr>
          <w:rFonts w:ascii="宋体" w:hAnsi="宋体" w:eastAsia="宋体" w:cs="宋体"/>
          <w:i w:val="0"/>
          <w:strike w:val="0"/>
          <w:color w:val="000000"/>
          <w:spacing w:val="-4"/>
          <w:sz w:val="24"/>
          <w:u w:val="none"/>
        </w:rPr>
        <w:t>项进</w:t>
      </w:r>
      <w:r>
        <w:rPr>
          <w:rFonts w:ascii="宋体" w:hAnsi="宋体" w:eastAsia="宋体" w:cs="宋体"/>
          <w:i w:val="0"/>
          <w:strike w:val="0"/>
          <w:color w:val="000000"/>
          <w:spacing w:val="-3"/>
          <w:sz w:val="24"/>
          <w:u w:val="none"/>
        </w:rPr>
        <w:t>行了说明。但是，本条文说明不具备与标准正文同等的法律效力，仅供使用</w:t>
      </w:r>
      <w:r>
        <w:rPr>
          <w:rFonts w:ascii="宋体" w:hAnsi="宋体" w:eastAsia="宋体" w:cs="宋体"/>
          <w:i w:val="0"/>
          <w:strike w:val="0"/>
          <w:color w:val="000000"/>
          <w:spacing w:val="-4"/>
          <w:sz w:val="24"/>
          <w:u w:val="none"/>
        </w:rPr>
        <w:t>者作</w:t>
      </w:r>
      <w:r>
        <w:rPr>
          <w:rFonts w:ascii="宋体" w:hAnsi="宋体" w:eastAsia="宋体" w:cs="宋体"/>
          <w:i w:val="0"/>
          <w:strike w:val="0"/>
          <w:color w:val="000000"/>
          <w:spacing w:val="-1"/>
          <w:sz w:val="24"/>
          <w:u w:val="none"/>
        </w:rPr>
        <w:t>为理解和把握标准规定的参考。</w:t>
      </w:r>
    </w:p>
    <w:p w14:paraId="35D22537">
      <w:pPr>
        <w:snapToGrid/>
        <w:spacing w:line="358" w:lineRule="auto"/>
      </w:pPr>
    </w:p>
    <w:p w14:paraId="1256D661">
      <w:pPr>
        <w:pStyle w:val="3"/>
        <w:snapToGrid/>
        <w:spacing w:line="360" w:lineRule="auto"/>
        <w:ind w:left="0" w:right="0"/>
        <w:jc w:val="center"/>
        <w:rPr>
          <w:rFonts w:ascii="宋体" w:hAnsi="宋体" w:eastAsia="宋体" w:cs="宋体"/>
          <w:b/>
          <w:i w:val="0"/>
          <w:strike w:val="0"/>
          <w:color w:val="000000"/>
          <w:sz w:val="30"/>
          <w:u w:val="none"/>
        </w:rPr>
      </w:pPr>
    </w:p>
    <w:p w14:paraId="1CC62FAA">
      <w:pPr>
        <w:pStyle w:val="3"/>
        <w:snapToGrid/>
        <w:spacing w:line="360" w:lineRule="auto"/>
        <w:ind w:left="0" w:right="0"/>
        <w:jc w:val="center"/>
        <w:rPr>
          <w:rFonts w:ascii="宋体" w:hAnsi="宋体" w:eastAsia="宋体" w:cs="宋体"/>
          <w:b/>
          <w:i w:val="0"/>
          <w:strike w:val="0"/>
          <w:color w:val="000000"/>
          <w:sz w:val="30"/>
          <w:u w:val="none"/>
        </w:rPr>
      </w:pPr>
    </w:p>
    <w:p w14:paraId="779C8CE4">
      <w:pPr>
        <w:pStyle w:val="3"/>
        <w:snapToGrid/>
        <w:spacing w:line="360" w:lineRule="auto"/>
        <w:ind w:left="0" w:right="0"/>
        <w:jc w:val="center"/>
      </w:pPr>
      <w:bookmarkStart w:id="88" w:name="_Toc30199"/>
      <w:r>
        <w:rPr>
          <w:rFonts w:ascii="宋体" w:hAnsi="宋体" w:eastAsia="宋体" w:cs="宋体"/>
          <w:b/>
          <w:i w:val="0"/>
          <w:strike w:val="0"/>
          <w:color w:val="000000"/>
          <w:sz w:val="30"/>
          <w:u w:val="none"/>
        </w:rPr>
        <w:t>1 总 则</w:t>
      </w:r>
      <w:bookmarkEnd w:id="88"/>
    </w:p>
    <w:p w14:paraId="461A675B">
      <w:pPr>
        <w:snapToGrid/>
        <w:spacing w:before="0" w:after="0" w:line="240" w:lineRule="auto"/>
        <w:ind w:left="0" w:right="0"/>
      </w:pPr>
      <w:r>
        <w:rPr>
          <w:rFonts w:ascii="Arial" w:hAnsi="Arial" w:cs="Arial"/>
          <w:i w:val="0"/>
          <w:strike w:val="0"/>
          <w:color w:val="000000"/>
          <w:sz w:val="21"/>
          <w:u w:val="none"/>
        </w:rPr>
        <w:t> </w:t>
      </w:r>
    </w:p>
    <w:p w14:paraId="73BD0D8A">
      <w:pPr>
        <w:bidi w:val="0"/>
        <w:rPr>
          <w:rFonts w:ascii="宋体" w:hAnsi="宋体" w:eastAsia="宋体" w:cs="宋体"/>
          <w:b w:val="0"/>
          <w:bCs w:val="0"/>
          <w:i w:val="0"/>
          <w:strike w:val="0"/>
          <w:color w:val="000000"/>
          <w:sz w:val="24"/>
          <w:u w:val="none"/>
        </w:rPr>
      </w:pPr>
      <w:r>
        <w:rPr>
          <w:rFonts w:ascii="Times New Roman" w:hAnsi="Times New Roman" w:cs="Times New Roman"/>
          <w:b/>
          <w:i w:val="0"/>
          <w:strike w:val="0"/>
          <w:color w:val="000000"/>
          <w:sz w:val="24"/>
          <w:u w:val="none"/>
        </w:rPr>
        <w:t xml:space="preserve">1.0.1 </w:t>
      </w:r>
      <w:r>
        <w:rPr>
          <w:rFonts w:ascii="宋体" w:hAnsi="宋体" w:eastAsia="宋体" w:cs="宋体"/>
          <w:b w:val="0"/>
          <w:bCs w:val="0"/>
          <w:i w:val="0"/>
          <w:strike w:val="0"/>
          <w:color w:val="000000"/>
          <w:sz w:val="24"/>
          <w:u w:val="none"/>
        </w:rPr>
        <w:t xml:space="preserve"> 本条为标准制定宗旨，紧扣国家碳达峰、碳中和战略目标，聚焦建筑施工阶段碳排放管控薄弱环节，通过统一技术要求、规范施工行为，降低建造过程碳排放占比，推动建筑业绿色低碳转型。</w:t>
      </w:r>
    </w:p>
    <w:p w14:paraId="2D8B210A">
      <w:pPr>
        <w:bidi w:val="0"/>
        <w:rPr>
          <w:rFonts w:hint="eastAsia" w:ascii="宋体" w:hAnsi="宋体" w:eastAsia="宋体" w:cs="宋体"/>
          <w:b w:val="0"/>
          <w:bCs w:val="0"/>
          <w:i w:val="0"/>
          <w:strike w:val="0"/>
          <w:snapToGrid w:val="0"/>
          <w:color w:val="000000"/>
          <w:kern w:val="0"/>
          <w:sz w:val="24"/>
          <w:szCs w:val="27"/>
          <w:u w:val="none"/>
          <w:lang w:val="en-US" w:eastAsia="zh-CN" w:bidi="ar"/>
        </w:rPr>
      </w:pPr>
      <w:r>
        <w:rPr>
          <w:rFonts w:ascii="Times New Roman" w:hAnsi="Times New Roman" w:cs="Times New Roman"/>
          <w:b/>
          <w:i w:val="0"/>
          <w:strike w:val="0"/>
          <w:color w:val="000000"/>
          <w:sz w:val="24"/>
          <w:u w:val="none"/>
        </w:rPr>
        <w:t>1.0.3</w:t>
      </w:r>
      <w:r>
        <w:rPr>
          <w:rFonts w:hint="eastAsia" w:ascii="Times New Roman" w:hAnsi="Times New Roman" w:cs="Times New Roman"/>
          <w:b/>
          <w:i w:val="0"/>
          <w:strike w:val="0"/>
          <w:color w:val="000000"/>
          <w:sz w:val="24"/>
          <w:u w:val="none"/>
          <w:lang w:val="en-US" w:eastAsia="zh-CN"/>
        </w:rPr>
        <w:t xml:space="preserve">  </w:t>
      </w:r>
      <w:r>
        <w:rPr>
          <w:rFonts w:hint="eastAsia" w:ascii="宋体" w:hAnsi="宋体" w:eastAsia="宋体" w:cs="宋体"/>
          <w:b w:val="0"/>
          <w:bCs w:val="0"/>
          <w:i w:val="0"/>
          <w:strike w:val="0"/>
          <w:snapToGrid w:val="0"/>
          <w:color w:val="000000"/>
          <w:kern w:val="0"/>
          <w:sz w:val="24"/>
          <w:szCs w:val="27"/>
          <w:u w:val="none"/>
          <w:lang w:val="en-US" w:eastAsia="zh-CN" w:bidi="ar"/>
        </w:rPr>
        <w:t>本条强调标准协调性，零碳建筑施工除执行本标准外，尚应符合国家现行绿色施工、建筑节能、碳排放计算、安全生产等相关标准规定，形成完整技术管控体系。</w:t>
      </w:r>
    </w:p>
    <w:p w14:paraId="31F05A82">
      <w:pPr>
        <w:pStyle w:val="3"/>
        <w:snapToGrid/>
        <w:spacing w:line="360" w:lineRule="auto"/>
        <w:ind w:left="0" w:right="0"/>
        <w:jc w:val="center"/>
        <w:rPr>
          <w:rFonts w:ascii="宋体" w:hAnsi="宋体" w:eastAsia="宋体" w:cs="宋体"/>
          <w:sz w:val="30"/>
          <w:szCs w:val="30"/>
        </w:rPr>
      </w:pPr>
      <w:bookmarkStart w:id="89" w:name="_Toc2916"/>
      <w:r>
        <w:rPr>
          <w:rFonts w:ascii="宋体" w:hAnsi="宋体" w:eastAsia="宋体" w:cs="宋体"/>
          <w:i w:val="0"/>
          <w:strike w:val="0"/>
          <w:color w:val="000000"/>
          <w:sz w:val="24"/>
          <w:u w:val="none"/>
        </w:rPr>
        <w:t> </w:t>
      </w:r>
      <w:r>
        <w:rPr>
          <w:rFonts w:ascii="宋体" w:hAnsi="宋体" w:eastAsia="宋体" w:cs="宋体"/>
          <w:b/>
          <w:i w:val="0"/>
          <w:strike w:val="0"/>
          <w:snapToGrid w:val="0"/>
          <w:color w:val="000000"/>
          <w:kern w:val="0"/>
          <w:sz w:val="30"/>
          <w:szCs w:val="21"/>
          <w:u w:val="none"/>
          <w:lang w:val="en-US" w:eastAsia="en-US" w:bidi="ar-SA"/>
        </w:rPr>
        <w:t xml:space="preserve">3 </w:t>
      </w:r>
      <w:r>
        <w:rPr>
          <w:rFonts w:hint="eastAsia" w:ascii="宋体" w:hAnsi="宋体" w:eastAsia="宋体" w:cs="宋体"/>
          <w:b/>
          <w:i w:val="0"/>
          <w:strike w:val="0"/>
          <w:snapToGrid w:val="0"/>
          <w:color w:val="000000"/>
          <w:kern w:val="0"/>
          <w:sz w:val="30"/>
          <w:szCs w:val="21"/>
          <w:u w:val="none"/>
          <w:lang w:val="en-US" w:eastAsia="en-US" w:bidi="ar-SA"/>
        </w:rPr>
        <w:t>基本规定</w:t>
      </w:r>
      <w:bookmarkEnd w:id="89"/>
    </w:p>
    <w:p w14:paraId="680FEB52">
      <w:pPr>
        <w:bidi w:val="0"/>
      </w:pPr>
    </w:p>
    <w:p w14:paraId="21A146DE">
      <w:pPr>
        <w:pStyle w:val="14"/>
        <w:keepNext w:val="0"/>
        <w:keepLines w:val="0"/>
        <w:widowControl/>
        <w:suppressLineNumbers w:val="0"/>
        <w:spacing w:before="0" w:beforeAutospacing="0" w:after="0" w:afterAutospacing="0" w:line="360" w:lineRule="atLeast"/>
        <w:ind w:left="0" w:right="0"/>
        <w:jc w:val="left"/>
      </w:pPr>
      <w:r>
        <w:rPr>
          <w:rFonts w:hint="eastAsia" w:ascii="宋体" w:hAnsi="宋体" w:eastAsia="宋体" w:cs="宋体"/>
          <w:b/>
          <w:bCs/>
          <w:i w:val="0"/>
          <w:iCs w:val="0"/>
          <w:color w:val="000000"/>
          <w:spacing w:val="0"/>
          <w:w w:val="100"/>
          <w:sz w:val="24"/>
          <w:szCs w:val="24"/>
          <w:vertAlign w:val="baseline"/>
        </w:rPr>
        <w:t>3.1.3~3.1.5、3.1.7、3.1.8</w:t>
      </w:r>
      <w:r>
        <w:rPr>
          <w:rFonts w:hint="eastAsia" w:ascii="宋体" w:hAnsi="宋体" w:eastAsia="宋体" w:cs="宋体"/>
          <w:b w:val="0"/>
          <w:bCs w:val="0"/>
          <w:i w:val="0"/>
          <w:iCs w:val="0"/>
          <w:color w:val="000000"/>
          <w:spacing w:val="0"/>
          <w:w w:val="100"/>
          <w:sz w:val="24"/>
          <w:szCs w:val="24"/>
          <w:vertAlign w:val="baseline"/>
        </w:rPr>
        <w:t xml:space="preserve"> 条</w:t>
      </w:r>
      <w:r>
        <w:rPr>
          <w:rFonts w:hint="eastAsia" w:ascii="宋体" w:hAnsi="宋体" w:eastAsia="宋体" w:cs="宋体"/>
          <w:b w:val="0"/>
          <w:bCs w:val="0"/>
          <w:i w:val="0"/>
          <w:strike w:val="0"/>
          <w:snapToGrid w:val="0"/>
          <w:color w:val="000000"/>
          <w:kern w:val="0"/>
          <w:sz w:val="24"/>
          <w:szCs w:val="27"/>
          <w:u w:val="none"/>
          <w:lang w:val="en-US" w:eastAsia="zh-CN" w:bidi="ar"/>
        </w:rPr>
        <w:t>文中所述“零碳施工”，为简洁统一表述，其涵盖低碳施工、近零碳施工及零碳施工三种形态；</w:t>
      </w:r>
      <w:r>
        <w:rPr>
          <w:rFonts w:hint="eastAsia" w:ascii="宋体" w:hAnsi="宋体" w:eastAsia="宋体" w:cs="宋体"/>
          <w:b w:val="0"/>
          <w:bCs w:val="0"/>
          <w:i w:val="0"/>
          <w:iCs w:val="0"/>
          <w:color w:val="000000"/>
          <w:spacing w:val="0"/>
          <w:w w:val="100"/>
          <w:sz w:val="24"/>
          <w:szCs w:val="24"/>
          <w:vertAlign w:val="baseline"/>
          <w:lang w:val="en-US"/>
        </w:rPr>
        <w:t> </w:t>
      </w:r>
    </w:p>
    <w:p w14:paraId="149E2D09">
      <w:pPr>
        <w:pStyle w:val="14"/>
        <w:keepNext w:val="0"/>
        <w:keepLines w:val="0"/>
        <w:widowControl/>
        <w:suppressLineNumbers w:val="0"/>
        <w:spacing w:before="0" w:beforeAutospacing="0" w:after="0" w:afterAutospacing="0"/>
        <w:ind w:left="0" w:right="0"/>
        <w:jc w:val="left"/>
      </w:pPr>
      <w:r>
        <w:rPr>
          <w:rFonts w:hint="eastAsia" w:ascii="宋体" w:hAnsi="宋体" w:eastAsia="宋体" w:cs="宋体"/>
          <w:b/>
          <w:bCs/>
          <w:i w:val="0"/>
          <w:iCs w:val="0"/>
          <w:color w:val="000000"/>
          <w:spacing w:val="0"/>
          <w:w w:val="100"/>
          <w:sz w:val="24"/>
          <w:szCs w:val="24"/>
          <w:vertAlign w:val="baseline"/>
        </w:rPr>
        <w:t xml:space="preserve">3.1.7 </w:t>
      </w:r>
      <w:r>
        <w:rPr>
          <w:rFonts w:hint="eastAsia" w:ascii="宋体" w:hAnsi="宋体" w:eastAsia="宋体" w:cs="宋体"/>
          <w:b w:val="0"/>
          <w:bCs w:val="0"/>
          <w:i w:val="0"/>
          <w:strike w:val="0"/>
          <w:snapToGrid w:val="0"/>
          <w:color w:val="000000"/>
          <w:kern w:val="0"/>
          <w:sz w:val="24"/>
          <w:szCs w:val="27"/>
          <w:u w:val="none"/>
          <w:lang w:val="en-US" w:eastAsia="zh-CN" w:bidi="ar"/>
        </w:rPr>
        <w:t>零碳施工碳排放的计算边界主要是参考《建筑碳排放计算标准》（</w:t>
      </w:r>
      <w:r>
        <w:rPr>
          <w:rFonts w:hint="default" w:ascii="宋体" w:hAnsi="宋体" w:eastAsia="宋体" w:cs="宋体"/>
          <w:b w:val="0"/>
          <w:bCs w:val="0"/>
          <w:i w:val="0"/>
          <w:strike w:val="0"/>
          <w:snapToGrid w:val="0"/>
          <w:color w:val="000000"/>
          <w:kern w:val="0"/>
          <w:sz w:val="24"/>
          <w:szCs w:val="27"/>
          <w:u w:val="none"/>
          <w:lang w:val="en-US" w:eastAsia="zh-CN" w:bidi="ar"/>
        </w:rPr>
        <w:t>GB_T51366-2019</w:t>
      </w:r>
      <w:r>
        <w:rPr>
          <w:rFonts w:hint="eastAsia" w:ascii="宋体" w:hAnsi="宋体" w:eastAsia="宋体" w:cs="宋体"/>
          <w:b w:val="0"/>
          <w:bCs w:val="0"/>
          <w:i w:val="0"/>
          <w:strike w:val="0"/>
          <w:snapToGrid w:val="0"/>
          <w:color w:val="000000"/>
          <w:kern w:val="0"/>
          <w:sz w:val="24"/>
          <w:szCs w:val="27"/>
          <w:u w:val="none"/>
          <w:lang w:val="en-US" w:eastAsia="zh-CN" w:bidi="ar"/>
        </w:rPr>
        <w:t>）中的5.1.3条，不同的是第4点“施工阶段使用的办公用房、生活用房和材料库房等临时设施的施工和拆除可不计入”。在这本标准里面为“应计入”，因为考虑到本标准为零碳施工技术标准，应考虑施工过程中产生的所有碳排放。</w:t>
      </w:r>
      <w:r>
        <w:rPr>
          <w:rFonts w:hint="eastAsia" w:ascii="宋体" w:hAnsi="宋体" w:eastAsia="宋体" w:cs="宋体"/>
          <w:b w:val="0"/>
          <w:bCs w:val="0"/>
          <w:i w:val="0"/>
          <w:iCs w:val="0"/>
          <w:color w:val="000000"/>
          <w:spacing w:val="0"/>
          <w:w w:val="100"/>
          <w:sz w:val="24"/>
          <w:szCs w:val="24"/>
          <w:vertAlign w:val="baseline"/>
          <w:lang w:val="en-US"/>
        </w:rPr>
        <w:t> </w:t>
      </w:r>
    </w:p>
    <w:p w14:paraId="6EB23193">
      <w:pPr>
        <w:pStyle w:val="14"/>
        <w:keepNext w:val="0"/>
        <w:keepLines w:val="0"/>
        <w:widowControl/>
        <w:suppressLineNumbers w:val="0"/>
        <w:spacing w:before="0" w:beforeAutospacing="0" w:after="0" w:afterAutospacing="0"/>
        <w:ind w:left="0" w:right="0"/>
        <w:jc w:val="left"/>
      </w:pPr>
      <w:r>
        <w:rPr>
          <w:rFonts w:hint="eastAsia" w:ascii="宋体" w:hAnsi="宋体" w:eastAsia="宋体" w:cs="宋体"/>
          <w:b/>
          <w:bCs/>
          <w:i w:val="0"/>
          <w:iCs w:val="0"/>
          <w:color w:val="000000"/>
          <w:spacing w:val="0"/>
          <w:w w:val="100"/>
          <w:sz w:val="24"/>
          <w:szCs w:val="24"/>
          <w:vertAlign w:val="baseline"/>
        </w:rPr>
        <w:t xml:space="preserve">3.1.8 </w:t>
      </w:r>
      <w:r>
        <w:rPr>
          <w:rFonts w:hint="eastAsia" w:ascii="宋体" w:hAnsi="宋体" w:eastAsia="宋体" w:cs="宋体"/>
          <w:b w:val="0"/>
          <w:bCs w:val="0"/>
          <w:i w:val="0"/>
          <w:iCs w:val="0"/>
          <w:color w:val="000000"/>
          <w:spacing w:val="0"/>
          <w:w w:val="100"/>
          <w:sz w:val="24"/>
          <w:szCs w:val="24"/>
          <w:vertAlign w:val="baseline"/>
        </w:rPr>
        <w:t>团体标准《公共建筑绿色低碳化改造碳排放核算及评价标准》（TCABEE）：规定零碳公共建筑采用碳信用抵消的排放量不应超过基准建筑碳排放量的20%，国务院办公厅《加快推动建筑领域节能降碳工作方案》（国办函〔2024〕20 号）：强调建筑领域碳减排需聚焦技术优化；20% 的管控值的设定，符合“技术减排优先、抵消为辅” 的政策导向，又兼顾了零碳建筑施工的先进性与可实施性，避免过度依赖抵消替代技术减排。</w:t>
      </w:r>
    </w:p>
    <w:p w14:paraId="2BAC3B4C">
      <w:pPr>
        <w:pStyle w:val="14"/>
        <w:keepNext w:val="0"/>
        <w:keepLines w:val="0"/>
        <w:widowControl/>
        <w:suppressLineNumbers w:val="0"/>
        <w:spacing w:before="0" w:beforeAutospacing="0" w:after="0" w:afterAutospacing="0"/>
        <w:ind w:left="0" w:right="0"/>
        <w:jc w:val="left"/>
        <w:rPr>
          <w:rFonts w:hint="eastAsia" w:ascii="宋体" w:hAnsi="宋体" w:eastAsia="宋体" w:cs="宋体"/>
          <w:b w:val="0"/>
          <w:bCs w:val="0"/>
          <w:i w:val="0"/>
          <w:iCs w:val="0"/>
          <w:color w:val="000000"/>
          <w:spacing w:val="0"/>
          <w:w w:val="100"/>
          <w:sz w:val="24"/>
          <w:szCs w:val="24"/>
          <w:vertAlign w:val="baseline"/>
        </w:rPr>
      </w:pPr>
      <w:r>
        <w:rPr>
          <w:rFonts w:hint="default" w:ascii="Times New Roman" w:hAnsi="Times New Roman" w:cs="Times New Roman"/>
          <w:b/>
          <w:bCs/>
          <w:i w:val="0"/>
          <w:iCs w:val="0"/>
          <w:color w:val="000000"/>
          <w:spacing w:val="0"/>
          <w:w w:val="100"/>
          <w:sz w:val="24"/>
          <w:szCs w:val="24"/>
          <w:vertAlign w:val="baseline"/>
        </w:rPr>
        <w:t xml:space="preserve">3.2.4 </w:t>
      </w:r>
      <w:r>
        <w:rPr>
          <w:rFonts w:hint="eastAsia" w:ascii="宋体" w:hAnsi="宋体" w:eastAsia="宋体" w:cs="宋体"/>
          <w:b w:val="0"/>
          <w:bCs w:val="0"/>
          <w:i w:val="0"/>
          <w:iCs w:val="0"/>
          <w:color w:val="000000"/>
          <w:spacing w:val="0"/>
          <w:w w:val="100"/>
          <w:sz w:val="24"/>
          <w:szCs w:val="24"/>
          <w:vertAlign w:val="baseline"/>
        </w:rPr>
        <w:t>条文中的“施工单位”即为施工总承包单位，下面条文提到的“施工单位”均为施工总承包单位。</w:t>
      </w:r>
    </w:p>
    <w:p w14:paraId="599D2DF3">
      <w:pPr>
        <w:snapToGrid/>
        <w:spacing w:line="240" w:lineRule="auto"/>
        <w:rPr>
          <w:rFonts w:hint="eastAsia" w:ascii="宋体" w:hAnsi="宋体" w:eastAsia="宋体" w:cs="宋体"/>
          <w:b w:val="0"/>
          <w:bCs w:val="0"/>
          <w:i w:val="0"/>
          <w:iCs w:val="0"/>
          <w:snapToGrid w:val="0"/>
          <w:color w:val="000000"/>
          <w:spacing w:val="0"/>
          <w:w w:val="100"/>
          <w:kern w:val="0"/>
          <w:sz w:val="24"/>
          <w:szCs w:val="24"/>
          <w:vertAlign w:val="baseline"/>
          <w:lang w:val="en-US" w:eastAsia="en-US" w:bidi="ar-SA"/>
        </w:rPr>
      </w:pPr>
      <w:r>
        <w:rPr>
          <w:rFonts w:hint="eastAsia" w:ascii="Times New Roman" w:hAnsi="Times New Roman" w:eastAsia="Arial" w:cs="Times New Roman"/>
          <w:b/>
          <w:bCs/>
          <w:i w:val="0"/>
          <w:iCs w:val="0"/>
          <w:snapToGrid w:val="0"/>
          <w:color w:val="000000"/>
          <w:spacing w:val="0"/>
          <w:w w:val="100"/>
          <w:kern w:val="0"/>
          <w:sz w:val="24"/>
          <w:szCs w:val="24"/>
          <w:vertAlign w:val="baseline"/>
          <w:lang w:val="en-US" w:eastAsia="zh-CN" w:bidi="ar-SA"/>
        </w:rPr>
        <w:t xml:space="preserve">3.3.3 </w:t>
      </w:r>
      <w:r>
        <w:rPr>
          <w:rFonts w:hint="eastAsia" w:ascii="宋体" w:hAnsi="宋体" w:eastAsia="宋体" w:cs="宋体"/>
          <w:b w:val="0"/>
          <w:bCs w:val="0"/>
          <w:i w:val="0"/>
          <w:iCs w:val="0"/>
          <w:snapToGrid w:val="0"/>
          <w:color w:val="000000"/>
          <w:spacing w:val="0"/>
          <w:w w:val="100"/>
          <w:kern w:val="0"/>
          <w:sz w:val="24"/>
          <w:szCs w:val="24"/>
          <w:vertAlign w:val="baseline"/>
          <w:lang w:val="en-US" w:eastAsia="en-US" w:bidi="ar-SA"/>
        </w:rPr>
        <w:t>台账留存不少于 5 年依据《碳排放权交易管理暂行条例》第十一条，重点排放单位原始记录、台账最低保存期限 5 年；资料起算节点为项目竣工验收合格当日。</w:t>
      </w:r>
    </w:p>
    <w:p w14:paraId="7A4C6BC9">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4"/>
          <w:szCs w:val="24"/>
          <w:vertAlign w:val="baseline"/>
          <w:lang w:val="en-US"/>
        </w:rPr>
        <w:t> </w:t>
      </w:r>
    </w:p>
    <w:p w14:paraId="081903FD">
      <w:pPr>
        <w:pStyle w:val="14"/>
        <w:keepNext w:val="0"/>
        <w:keepLines w:val="0"/>
        <w:widowControl/>
        <w:suppressLineNumbers w:val="0"/>
        <w:spacing w:before="0" w:beforeAutospacing="0" w:after="0" w:afterAutospacing="0"/>
        <w:ind w:left="0" w:right="0"/>
        <w:jc w:val="left"/>
      </w:pPr>
    </w:p>
    <w:p w14:paraId="11F9287A">
      <w:pPr>
        <w:pStyle w:val="3"/>
        <w:snapToGrid/>
        <w:spacing w:line="360" w:lineRule="auto"/>
        <w:ind w:left="0" w:right="0"/>
        <w:jc w:val="center"/>
        <w:rPr>
          <w:rFonts w:hint="eastAsia" w:ascii="宋体" w:hAnsi="宋体" w:eastAsia="宋体" w:cs="宋体"/>
          <w:b/>
          <w:bCs/>
          <w:snapToGrid w:val="0"/>
          <w:color w:val="000000"/>
          <w:kern w:val="0"/>
          <w:sz w:val="30"/>
          <w:szCs w:val="30"/>
          <w:lang w:val="en-US" w:eastAsia="zh-CN" w:bidi="ar"/>
        </w:rPr>
      </w:pPr>
      <w:bookmarkStart w:id="90" w:name="_Toc945"/>
      <w:bookmarkStart w:id="91" w:name="_Toc8odako"/>
      <w:r>
        <w:rPr>
          <w:rFonts w:hint="eastAsia" w:ascii="宋体" w:hAnsi="宋体" w:eastAsia="宋体" w:cs="宋体"/>
          <w:b/>
          <w:bCs/>
          <w:snapToGrid w:val="0"/>
          <w:color w:val="000000"/>
          <w:kern w:val="0"/>
          <w:sz w:val="30"/>
          <w:szCs w:val="30"/>
          <w:lang w:val="en-US" w:eastAsia="zh-CN" w:bidi="ar"/>
        </w:rPr>
        <w:t>4  施工管理</w:t>
      </w:r>
      <w:bookmarkEnd w:id="90"/>
      <w:bookmarkEnd w:id="91"/>
    </w:p>
    <w:p w14:paraId="0FBDCF5A">
      <w:pPr>
        <w:kinsoku w:val="0"/>
        <w:autoSpaceDE w:val="0"/>
        <w:autoSpaceDN w:val="0"/>
        <w:adjustRightInd w:val="0"/>
        <w:snapToGrid w:val="0"/>
        <w:spacing w:before="0" w:beforeAutospacing="1" w:after="0" w:afterAutospacing="1" w:line="240" w:lineRule="auto"/>
        <w:jc w:val="left"/>
        <w:textAlignment w:val="baseline"/>
        <w:rPr>
          <w:rFonts w:hint="eastAsia" w:ascii="宋体" w:hAnsi="宋体" w:eastAsia="宋体" w:cs="宋体"/>
          <w:b/>
          <w:bCs/>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4.1 施工前期管理</w:t>
      </w:r>
    </w:p>
    <w:p w14:paraId="795F5C39">
      <w:pPr>
        <w:rPr>
          <w:rFonts w:ascii="宋体" w:hAnsi="宋体" w:eastAsia="宋体" w:cs="宋体"/>
          <w:sz w:val="24"/>
          <w:szCs w:val="24"/>
        </w:rPr>
      </w:pPr>
      <w:r>
        <w:rPr>
          <w:rFonts w:ascii="宋体" w:hAnsi="宋体" w:eastAsia="宋体" w:cs="宋体"/>
          <w:sz w:val="24"/>
          <w:szCs w:val="24"/>
        </w:rPr>
        <w:t>4.1.1 本条规定了零碳施工前期策划的基本要求</w:t>
      </w:r>
      <w:r>
        <w:rPr>
          <w:rFonts w:hint="eastAsia" w:ascii="宋体" w:hAnsi="宋体" w:eastAsia="宋体" w:cs="宋体"/>
          <w:sz w:val="24"/>
          <w:szCs w:val="24"/>
          <w:lang w:eastAsia="zh-CN"/>
        </w:rPr>
        <w:t>，</w:t>
      </w:r>
      <w:r>
        <w:rPr>
          <w:rFonts w:hint="eastAsia" w:ascii="宋体" w:hAnsi="宋体" w:eastAsia="宋体" w:cs="宋体"/>
          <w:sz w:val="24"/>
          <w:szCs w:val="24"/>
        </w:rPr>
        <w:t>前期策划是碳目标落地核心前置工作，避免施工阶段无量化减碳指标、措施无序实施</w:t>
      </w:r>
      <w:r>
        <w:rPr>
          <w:rFonts w:hint="eastAsia" w:ascii="宋体" w:hAnsi="宋体" w:eastAsia="宋体" w:cs="宋体"/>
          <w:sz w:val="24"/>
          <w:szCs w:val="24"/>
          <w:lang w:eastAsia="zh-CN"/>
        </w:rPr>
        <w:t>；策划文件</w:t>
      </w:r>
      <w:r>
        <w:rPr>
          <w:rFonts w:hint="eastAsia" w:ascii="宋体" w:hAnsi="宋体" w:eastAsia="宋体" w:cs="宋体"/>
          <w:sz w:val="24"/>
          <w:szCs w:val="24"/>
          <w:lang w:val="en-US" w:eastAsia="zh-CN"/>
        </w:rPr>
        <w:t>宜</w:t>
      </w:r>
      <w:r>
        <w:rPr>
          <w:rFonts w:hint="eastAsia" w:ascii="宋体" w:hAnsi="宋体" w:eastAsia="宋体" w:cs="宋体"/>
          <w:sz w:val="24"/>
          <w:szCs w:val="24"/>
          <w:lang w:eastAsia="zh-CN"/>
        </w:rPr>
        <w:t>碳排放源识别与预测，梳理施工机械、临时用能、建材运输、建筑垃圾等主要排放源，测算施工阶段碳排放预估值，明确分级管控指标</w:t>
      </w:r>
      <w:r>
        <w:rPr>
          <w:rFonts w:hint="eastAsia" w:ascii="宋体" w:hAnsi="宋体" w:eastAsia="宋体" w:cs="宋体"/>
          <w:sz w:val="24"/>
          <w:szCs w:val="24"/>
        </w:rPr>
        <w:t>。</w:t>
      </w:r>
    </w:p>
    <w:p w14:paraId="01BCC787">
      <w:pPr>
        <w:rPr>
          <w:rFonts w:ascii="宋体" w:hAnsi="宋体" w:eastAsia="宋体" w:cs="宋体"/>
          <w:sz w:val="24"/>
          <w:szCs w:val="24"/>
        </w:rPr>
      </w:pPr>
    </w:p>
    <w:p w14:paraId="729B646F">
      <w:pPr>
        <w:rPr>
          <w:rFonts w:ascii="宋体" w:hAnsi="宋体" w:eastAsia="宋体" w:cs="宋体"/>
          <w:sz w:val="24"/>
          <w:szCs w:val="24"/>
        </w:rPr>
      </w:pPr>
      <w:r>
        <w:rPr>
          <w:rFonts w:ascii="宋体" w:hAnsi="宋体" w:eastAsia="宋体" w:cs="宋体"/>
          <w:sz w:val="24"/>
          <w:szCs w:val="24"/>
        </w:rPr>
        <w:t>4.1.2 本条补充数字化平台硬性功能要求：必须具备能耗分项采集、碳排放自动测算、多参建方数据共享、超标预警、台账自动归档五大模块；人工纸质台账不可替代数字化管控平台。</w:t>
      </w:r>
    </w:p>
    <w:p w14:paraId="7EBE698B">
      <w:pPr>
        <w:rPr>
          <w:rFonts w:ascii="宋体" w:hAnsi="宋体" w:eastAsia="宋体" w:cs="宋体"/>
          <w:sz w:val="24"/>
          <w:szCs w:val="24"/>
        </w:rPr>
      </w:pPr>
    </w:p>
    <w:p w14:paraId="2F400346">
      <w:pPr>
        <w:rPr>
          <w:rFonts w:ascii="宋体" w:hAnsi="宋体" w:eastAsia="宋体" w:cs="宋体"/>
          <w:sz w:val="24"/>
          <w:szCs w:val="24"/>
        </w:rPr>
      </w:pPr>
      <w:r>
        <w:rPr>
          <w:rFonts w:ascii="宋体" w:hAnsi="宋体" w:eastAsia="宋体" w:cs="宋体"/>
          <w:sz w:val="24"/>
          <w:szCs w:val="24"/>
        </w:rPr>
        <w:t>4.1.</w:t>
      </w:r>
      <w:r>
        <w:rPr>
          <w:rFonts w:hint="eastAsia" w:ascii="宋体" w:hAnsi="宋体" w:eastAsia="宋体" w:cs="宋体"/>
          <w:sz w:val="24"/>
          <w:szCs w:val="24"/>
          <w:lang w:val="en-US" w:eastAsia="zh-CN"/>
        </w:rPr>
        <w:t>3</w:t>
      </w:r>
      <w:r>
        <w:rPr>
          <w:rFonts w:ascii="宋体" w:hAnsi="宋体" w:eastAsia="宋体" w:cs="宋体"/>
          <w:sz w:val="24"/>
          <w:szCs w:val="24"/>
        </w:rPr>
        <w:t xml:space="preserve"> 发生重大设计变更、工期调整、主材替换时，必须重新核算碳排放，修订方案。</w:t>
      </w:r>
    </w:p>
    <w:p w14:paraId="7BC94C76">
      <w:pPr>
        <w:rPr>
          <w:rFonts w:ascii="宋体" w:hAnsi="宋体" w:eastAsia="宋体" w:cs="宋体"/>
          <w:sz w:val="24"/>
          <w:szCs w:val="24"/>
        </w:rPr>
      </w:pPr>
    </w:p>
    <w:p w14:paraId="3F3BAC56">
      <w:pPr>
        <w:rPr>
          <w:rFonts w:ascii="宋体" w:hAnsi="宋体" w:eastAsia="宋体" w:cs="宋体"/>
          <w:sz w:val="24"/>
          <w:szCs w:val="24"/>
        </w:rPr>
      </w:pPr>
      <w:r>
        <w:rPr>
          <w:rFonts w:ascii="宋体" w:hAnsi="宋体" w:eastAsia="宋体" w:cs="宋体"/>
          <w:sz w:val="24"/>
          <w:szCs w:val="24"/>
        </w:rPr>
        <w:t>4.1.</w:t>
      </w:r>
      <w:r>
        <w:rPr>
          <w:rFonts w:hint="eastAsia" w:ascii="宋体" w:hAnsi="宋体" w:eastAsia="宋体" w:cs="宋体"/>
          <w:sz w:val="24"/>
          <w:szCs w:val="24"/>
          <w:lang w:val="en-US" w:eastAsia="zh-CN"/>
        </w:rPr>
        <w:t>5</w:t>
      </w:r>
      <w:r>
        <w:rPr>
          <w:rFonts w:ascii="宋体" w:hAnsi="宋体" w:eastAsia="宋体" w:cs="宋体"/>
          <w:sz w:val="24"/>
          <w:szCs w:val="24"/>
        </w:rPr>
        <w:t xml:space="preserve"> 淘汰设备包含国四以下非道路机械、燃煤取暖设备；应急物资优先电动化、可周转，从应急场景全维度贯彻零碳要求。</w:t>
      </w:r>
    </w:p>
    <w:p w14:paraId="49EE0895">
      <w:pPr>
        <w:rPr>
          <w:rFonts w:ascii="宋体" w:hAnsi="宋体" w:eastAsia="宋体" w:cs="宋体"/>
          <w:sz w:val="24"/>
          <w:szCs w:val="24"/>
        </w:rPr>
      </w:pPr>
    </w:p>
    <w:p w14:paraId="7F4BFFAF">
      <w:pPr>
        <w:rPr>
          <w:rFonts w:ascii="宋体" w:hAnsi="宋体" w:eastAsia="宋体" w:cs="宋体"/>
          <w:sz w:val="24"/>
          <w:szCs w:val="24"/>
        </w:rPr>
      </w:pPr>
      <w:r>
        <w:rPr>
          <w:rFonts w:ascii="宋体" w:hAnsi="宋体" w:eastAsia="宋体" w:cs="宋体"/>
          <w:sz w:val="24"/>
          <w:szCs w:val="24"/>
        </w:rPr>
        <w:t xml:space="preserve">4.1.6 </w:t>
      </w:r>
      <w:r>
        <w:rPr>
          <w:rFonts w:hint="eastAsia" w:ascii="宋体" w:hAnsi="宋体" w:eastAsia="宋体" w:cs="宋体"/>
          <w:sz w:val="24"/>
          <w:szCs w:val="24"/>
        </w:rPr>
        <w:t>管理人员、作业人员分开培训，管理人员侧重核算、体系管理；一线人员侧重低碳工艺、废弃物分类；考核不合格人员严禁上岗，培训资料纳入竣工零碳档案。</w:t>
      </w:r>
    </w:p>
    <w:p w14:paraId="7C1047AA">
      <w:pPr>
        <w:rPr>
          <w:rFonts w:ascii="宋体" w:hAnsi="宋体" w:eastAsia="宋体" w:cs="宋体"/>
          <w:sz w:val="24"/>
          <w:szCs w:val="24"/>
        </w:rPr>
      </w:pPr>
    </w:p>
    <w:p w14:paraId="49CF5BA7">
      <w:pPr>
        <w:rPr>
          <w:rFonts w:ascii="宋体" w:hAnsi="宋体" w:eastAsia="宋体" w:cs="宋体"/>
          <w:sz w:val="24"/>
          <w:szCs w:val="24"/>
        </w:rPr>
      </w:pPr>
    </w:p>
    <w:p w14:paraId="5F29D7B1">
      <w:pPr>
        <w:kinsoku w:val="0"/>
        <w:autoSpaceDE w:val="0"/>
        <w:autoSpaceDN w:val="0"/>
        <w:adjustRightInd w:val="0"/>
        <w:snapToGrid w:val="0"/>
        <w:spacing w:before="0" w:beforeAutospacing="1" w:after="0" w:afterAutospacing="1" w:line="240" w:lineRule="auto"/>
        <w:jc w:val="left"/>
        <w:textAlignment w:val="baseline"/>
        <w:rPr>
          <w:rFonts w:hint="eastAsia" w:ascii="宋体" w:hAnsi="宋体" w:eastAsia="宋体" w:cs="宋体"/>
          <w:b/>
          <w:bCs/>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4.2 施工过程管理</w:t>
      </w:r>
    </w:p>
    <w:p w14:paraId="7E553EDF">
      <w:pPr>
        <w:snapToGrid/>
        <w:spacing w:line="240" w:lineRule="auto"/>
      </w:pPr>
      <w:r>
        <w:rPr>
          <w:rFonts w:ascii="宋体" w:hAnsi="宋体" w:eastAsia="宋体" w:cs="宋体"/>
          <w:i w:val="0"/>
          <w:strike w:val="0"/>
          <w:spacing w:val="0"/>
          <w:sz w:val="24"/>
          <w:u w:val="none"/>
        </w:rPr>
        <w:t xml:space="preserve">4.2.1 </w:t>
      </w:r>
      <w:r>
        <w:rPr>
          <w:rFonts w:ascii="宋体" w:hAnsi="宋体" w:eastAsia="宋体" w:cs="宋体"/>
          <w:sz w:val="24"/>
          <w:szCs w:val="24"/>
        </w:rPr>
        <w:t>利用施工模拟优化工序搭接，减少机械空载、材料二次转运；进度偏差</w:t>
      </w:r>
      <w:r>
        <w:rPr>
          <w:rFonts w:hint="eastAsia" w:ascii="宋体" w:hAnsi="宋体" w:eastAsia="宋体" w:cs="宋体"/>
          <w:sz w:val="24"/>
          <w:szCs w:val="24"/>
        </w:rPr>
        <w:t>≧</w:t>
      </w:r>
      <w:r>
        <w:rPr>
          <w:rFonts w:ascii="宋体" w:hAnsi="宋体" w:eastAsia="宋体" w:cs="宋体"/>
          <w:sz w:val="24"/>
          <w:szCs w:val="24"/>
        </w:rPr>
        <w:t>5%</w:t>
      </w:r>
      <w:r>
        <w:rPr>
          <w:rFonts w:hint="eastAsia" w:ascii="宋体" w:hAnsi="宋体" w:eastAsia="宋体" w:cs="宋体"/>
          <w:sz w:val="24"/>
          <w:szCs w:val="24"/>
          <w:lang w:val="en-US" w:eastAsia="zh-CN"/>
        </w:rPr>
        <w:t>时，</w:t>
      </w:r>
      <w:r>
        <w:rPr>
          <w:rFonts w:ascii="宋体" w:hAnsi="宋体" w:eastAsia="宋体" w:cs="宋体"/>
          <w:sz w:val="24"/>
          <w:szCs w:val="24"/>
        </w:rPr>
        <w:t>启动碳纠偏；赶工严禁大面积柴油发电、夜间无节制照明。</w:t>
      </w:r>
    </w:p>
    <w:p w14:paraId="7EEF9B0A">
      <w:pPr>
        <w:snapToGrid/>
        <w:spacing w:line="240" w:lineRule="auto"/>
        <w:rPr>
          <w:rFonts w:ascii="宋体" w:hAnsi="宋体" w:eastAsia="宋体" w:cs="宋体"/>
          <w:i w:val="0"/>
          <w:strike w:val="0"/>
          <w:spacing w:val="0"/>
          <w:sz w:val="24"/>
          <w:u w:val="none"/>
        </w:rPr>
      </w:pPr>
    </w:p>
    <w:p w14:paraId="189FF679">
      <w:pPr>
        <w:snapToGrid/>
        <w:spacing w:line="240" w:lineRule="auto"/>
      </w:pPr>
      <w:r>
        <w:rPr>
          <w:rFonts w:ascii="宋体" w:hAnsi="宋体" w:eastAsia="宋体" w:cs="宋体"/>
          <w:i w:val="0"/>
          <w:strike w:val="0"/>
          <w:spacing w:val="0"/>
          <w:sz w:val="24"/>
          <w:u w:val="none"/>
        </w:rPr>
        <w:t xml:space="preserve">4.2.3 </w:t>
      </w:r>
      <w:r>
        <w:rPr>
          <w:rFonts w:ascii="宋体" w:hAnsi="宋体" w:eastAsia="宋体" w:cs="宋体"/>
          <w:sz w:val="24"/>
          <w:szCs w:val="24"/>
        </w:rPr>
        <w:t>安全风险清单</w:t>
      </w:r>
      <w:r>
        <w:rPr>
          <w:rFonts w:hint="eastAsia" w:ascii="宋体" w:hAnsi="宋体" w:eastAsia="宋体" w:cs="宋体"/>
          <w:sz w:val="24"/>
          <w:szCs w:val="24"/>
          <w:lang w:val="en-US" w:eastAsia="zh-CN"/>
        </w:rPr>
        <w:t>包含</w:t>
      </w:r>
      <w:r>
        <w:rPr>
          <w:rFonts w:ascii="宋体" w:hAnsi="宋体" w:eastAsia="宋体" w:cs="宋体"/>
          <w:sz w:val="24"/>
          <w:szCs w:val="24"/>
        </w:rPr>
        <w:t>电动设备充电火灾、光伏临电触电、装配式构件倾覆</w:t>
      </w:r>
      <w:r>
        <w:rPr>
          <w:rFonts w:hint="eastAsia" w:ascii="宋体" w:hAnsi="宋体" w:eastAsia="宋体" w:cs="宋体"/>
          <w:sz w:val="24"/>
          <w:szCs w:val="24"/>
          <w:lang w:val="en-US" w:eastAsia="zh-CN"/>
        </w:rPr>
        <w:t>等</w:t>
      </w:r>
      <w:r>
        <w:rPr>
          <w:rFonts w:ascii="宋体" w:hAnsi="宋体" w:eastAsia="宋体" w:cs="宋体"/>
          <w:sz w:val="24"/>
          <w:szCs w:val="24"/>
        </w:rPr>
        <w:t>；突发环境事件处置优先使用电动救援设备，事后核算额外碳排放并完成碳补偿。</w:t>
      </w:r>
    </w:p>
    <w:p w14:paraId="0772376A">
      <w:pPr>
        <w:snapToGrid/>
        <w:spacing w:line="240" w:lineRule="auto"/>
      </w:pPr>
      <w:r>
        <w:rPr>
          <w:rFonts w:ascii="宋体" w:hAnsi="宋体" w:eastAsia="宋体" w:cs="宋体"/>
          <w:i w:val="0"/>
          <w:strike w:val="0"/>
          <w:spacing w:val="0"/>
          <w:sz w:val="24"/>
          <w:u w:val="none"/>
        </w:rPr>
        <w:t xml:space="preserve">4.2.4 </w:t>
      </w:r>
      <w:r>
        <w:rPr>
          <w:rFonts w:ascii="宋体" w:hAnsi="宋体" w:eastAsia="宋体" w:cs="宋体"/>
          <w:sz w:val="24"/>
          <w:szCs w:val="24"/>
        </w:rPr>
        <w:t>施工日志要求：日志必须每日记录绿电使用量、柴油设备启用原因、废弃物回收量三大碳相关内容，监理每周核查签字</w:t>
      </w:r>
      <w:r>
        <w:rPr>
          <w:rFonts w:ascii="宋体" w:hAnsi="宋体" w:eastAsia="宋体" w:cs="宋体"/>
          <w:i w:val="0"/>
          <w:strike w:val="0"/>
          <w:spacing w:val="0"/>
          <w:sz w:val="24"/>
          <w:u w:val="none"/>
        </w:rPr>
        <w:t>。</w:t>
      </w:r>
    </w:p>
    <w:p w14:paraId="26F2AD48">
      <w:pPr>
        <w:snapToGrid/>
        <w:spacing w:line="240" w:lineRule="auto"/>
      </w:pPr>
    </w:p>
    <w:p w14:paraId="05881443">
      <w:pPr>
        <w:kinsoku w:val="0"/>
        <w:autoSpaceDE w:val="0"/>
        <w:autoSpaceDN w:val="0"/>
        <w:adjustRightInd w:val="0"/>
        <w:snapToGrid w:val="0"/>
        <w:spacing w:before="0" w:beforeAutospacing="1" w:after="0" w:afterAutospacing="1" w:line="240" w:lineRule="auto"/>
        <w:jc w:val="left"/>
        <w:textAlignment w:val="baseline"/>
        <w:rPr>
          <w:rFonts w:hint="eastAsia" w:ascii="宋体" w:hAnsi="宋体" w:eastAsia="宋体" w:cs="宋体"/>
          <w:b/>
          <w:bCs/>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4.3 施工后期管理</w:t>
      </w:r>
    </w:p>
    <w:p w14:paraId="2529AF4E">
      <w:pPr>
        <w:snapToGrid/>
        <w:spacing w:line="240" w:lineRule="auto"/>
      </w:pPr>
      <w:r>
        <w:rPr>
          <w:rFonts w:ascii="宋体" w:hAnsi="宋体" w:eastAsia="宋体" w:cs="宋体"/>
          <w:i w:val="0"/>
          <w:strike w:val="0"/>
          <w:spacing w:val="0"/>
          <w:sz w:val="24"/>
          <w:u w:val="none"/>
        </w:rPr>
        <w:t xml:space="preserve">4.3.1 </w:t>
      </w:r>
      <w:r>
        <w:rPr>
          <w:rFonts w:ascii="宋体" w:hAnsi="宋体" w:eastAsia="宋体" w:cs="宋体"/>
          <w:sz w:val="24"/>
          <w:szCs w:val="24"/>
        </w:rPr>
        <w:t>废弃物回收利用率60%为验收硬性门槛，计算口径 = 可回收废弃物重量 ÷全部建筑垃圾总重量；临建拆除优先无损拆解，构件周转复用。</w:t>
      </w:r>
    </w:p>
    <w:p w14:paraId="3851847D">
      <w:pPr>
        <w:snapToGrid/>
        <w:spacing w:line="240" w:lineRule="auto"/>
        <w:rPr>
          <w:rFonts w:ascii="宋体" w:hAnsi="宋体" w:eastAsia="宋体" w:cs="宋体"/>
          <w:sz w:val="24"/>
          <w:szCs w:val="24"/>
        </w:rPr>
      </w:pPr>
      <w:r>
        <w:rPr>
          <w:rFonts w:ascii="宋体" w:hAnsi="宋体" w:eastAsia="宋体" w:cs="宋体"/>
          <w:i w:val="0"/>
          <w:strike w:val="0"/>
          <w:spacing w:val="0"/>
          <w:sz w:val="24"/>
          <w:u w:val="none"/>
        </w:rPr>
        <w:t xml:space="preserve">4.3.2 </w:t>
      </w:r>
      <w:r>
        <w:rPr>
          <w:rFonts w:ascii="宋体" w:hAnsi="宋体" w:eastAsia="宋体" w:cs="宋体"/>
          <w:sz w:val="24"/>
          <w:szCs w:val="24"/>
        </w:rPr>
        <w:t>第三方核查机构</w:t>
      </w:r>
      <w:r>
        <w:rPr>
          <w:rFonts w:hint="eastAsia" w:ascii="宋体" w:hAnsi="宋体" w:eastAsia="宋体" w:cs="宋体"/>
          <w:sz w:val="24"/>
          <w:szCs w:val="24"/>
          <w:lang w:val="en-US" w:eastAsia="zh-CN"/>
        </w:rPr>
        <w:t>应</w:t>
      </w:r>
      <w:r>
        <w:rPr>
          <w:rFonts w:ascii="宋体" w:hAnsi="宋体" w:eastAsia="宋体" w:cs="宋体"/>
          <w:sz w:val="24"/>
          <w:szCs w:val="24"/>
        </w:rPr>
        <w:t>具备碳核算资质，核查报告作为零碳评估必备资料。</w:t>
      </w:r>
    </w:p>
    <w:p w14:paraId="3E65AF83">
      <w:pPr>
        <w:snapToGrid/>
        <w:spacing w:line="240" w:lineRule="auto"/>
        <w:rPr>
          <w:rFonts w:ascii="宋体" w:hAnsi="宋体" w:eastAsia="宋体" w:cs="宋体"/>
          <w:sz w:val="24"/>
          <w:szCs w:val="24"/>
        </w:rPr>
      </w:pPr>
    </w:p>
    <w:p w14:paraId="6231776D">
      <w:pPr>
        <w:pStyle w:val="3"/>
        <w:snapToGrid/>
        <w:spacing w:line="360" w:lineRule="auto"/>
        <w:ind w:left="0" w:right="0"/>
        <w:jc w:val="center"/>
        <w:rPr>
          <w:rFonts w:hint="eastAsia" w:ascii="宋体" w:hAnsi="宋体" w:eastAsia="宋体" w:cs="宋体"/>
          <w:b/>
          <w:bCs/>
          <w:snapToGrid w:val="0"/>
          <w:color w:val="000000"/>
          <w:kern w:val="0"/>
          <w:sz w:val="30"/>
          <w:szCs w:val="30"/>
          <w:lang w:val="en-US" w:eastAsia="zh-CN" w:bidi="ar"/>
        </w:rPr>
      </w:pPr>
      <w:bookmarkStart w:id="92" w:name="_Toc24700"/>
      <w:r>
        <w:rPr>
          <w:rFonts w:hint="eastAsia" w:ascii="宋体" w:hAnsi="宋体" w:eastAsia="宋体" w:cs="宋体"/>
          <w:b/>
          <w:bCs/>
          <w:snapToGrid w:val="0"/>
          <w:color w:val="000000"/>
          <w:kern w:val="0"/>
          <w:sz w:val="30"/>
          <w:szCs w:val="30"/>
          <w:lang w:val="en-US" w:eastAsia="zh-CN" w:bidi="ar"/>
        </w:rPr>
        <w:t>5 施工技术</w:t>
      </w:r>
      <w:bookmarkEnd w:id="92"/>
    </w:p>
    <w:p w14:paraId="0DB8B0C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eastAsia" w:ascii="宋体" w:hAnsi="宋体" w:eastAsia="宋体" w:cs="宋体"/>
          <w:b/>
          <w:bCs/>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5.1 一般规定</w:t>
      </w:r>
    </w:p>
    <w:p w14:paraId="6BD77858">
      <w:pPr>
        <w:snapToGrid/>
        <w:spacing w:line="240" w:lineRule="auto"/>
        <w:rPr>
          <w:rFonts w:ascii="宋体" w:hAnsi="宋体" w:eastAsia="宋体" w:cs="宋体"/>
          <w:i w:val="0"/>
          <w:strike w:val="0"/>
          <w:spacing w:val="0"/>
          <w:sz w:val="24"/>
          <w:u w:val="none"/>
        </w:rPr>
      </w:pPr>
      <w:r>
        <w:rPr>
          <w:rFonts w:ascii="宋体" w:hAnsi="宋体" w:eastAsia="宋体" w:cs="宋体"/>
          <w:i w:val="0"/>
          <w:strike w:val="0"/>
          <w:spacing w:val="0"/>
          <w:sz w:val="24"/>
          <w:u w:val="none"/>
        </w:rPr>
        <w:t>5.1.1</w:t>
      </w:r>
      <w:r>
        <w:rPr>
          <w:rFonts w:hint="eastAsia" w:ascii="宋体" w:hAnsi="宋体" w:eastAsia="宋体" w:cs="宋体"/>
          <w:i w:val="0"/>
          <w:strike w:val="0"/>
          <w:spacing w:val="0"/>
          <w:sz w:val="24"/>
          <w:u w:val="none"/>
          <w:lang w:val="en-US" w:eastAsia="zh-CN"/>
        </w:rPr>
        <w:t xml:space="preserve"> </w:t>
      </w:r>
      <w:r>
        <w:rPr>
          <w:rFonts w:ascii="宋体" w:hAnsi="宋体" w:eastAsia="宋体" w:cs="宋体"/>
          <w:i w:val="0"/>
          <w:strike w:val="0"/>
          <w:spacing w:val="0"/>
          <w:sz w:val="24"/>
          <w:u w:val="none"/>
          <w:lang w:val="en-US" w:eastAsia="zh-CN"/>
        </w:rPr>
        <w:t>本条确立全专业零碳施工通用准则，六类原则分别对应能源、设备、材料、工艺、数字化、全流程追溯六大减碳维度，为 5.2~5.8 各分部分项施工提供统一技术导向，所有工序均需同步落实多项原则协同减碳。</w:t>
      </w:r>
    </w:p>
    <w:p w14:paraId="58E8C644">
      <w:pPr>
        <w:snapToGrid/>
        <w:spacing w:line="240" w:lineRule="auto"/>
        <w:rPr>
          <w:rFonts w:ascii="宋体" w:hAnsi="宋体" w:eastAsia="宋体" w:cs="宋体"/>
          <w:i w:val="0"/>
          <w:strike w:val="0"/>
          <w:spacing w:val="0"/>
          <w:sz w:val="24"/>
          <w:u w:val="none"/>
        </w:rPr>
      </w:pPr>
      <w:r>
        <w:rPr>
          <w:rFonts w:ascii="宋体" w:hAnsi="宋体" w:eastAsia="宋体" w:cs="宋体"/>
          <w:i w:val="0"/>
          <w:strike w:val="0"/>
          <w:spacing w:val="0"/>
          <w:sz w:val="24"/>
          <w:u w:val="none"/>
        </w:rPr>
        <w:t>5.1.2</w:t>
      </w:r>
      <w:r>
        <w:rPr>
          <w:rFonts w:hint="eastAsia" w:ascii="宋体" w:hAnsi="宋体" w:eastAsia="宋体" w:cs="宋体"/>
          <w:i w:val="0"/>
          <w:strike w:val="0"/>
          <w:spacing w:val="0"/>
          <w:sz w:val="24"/>
          <w:u w:val="none"/>
          <w:lang w:val="en-US" w:eastAsia="zh-CN"/>
        </w:rPr>
        <w:t xml:space="preserve"> </w:t>
      </w:r>
      <w:r>
        <w:rPr>
          <w:rFonts w:ascii="宋体" w:hAnsi="宋体" w:eastAsia="宋体" w:cs="宋体"/>
          <w:i w:val="0"/>
          <w:strike w:val="0"/>
          <w:spacing w:val="0"/>
          <w:sz w:val="24"/>
          <w:u w:val="none"/>
          <w:lang w:val="en-US" w:eastAsia="zh-CN"/>
        </w:rPr>
        <w:t>区分常规工况与应急边界，从能源源头削减直接碳排放；绿电含场内光伏自发自用、外购绿电/绿证；仅抢险、全网断电储能耗尽可经监理审批临时启用燃油设备，使用后需核算额外碳排放并完成碳补偿。</w:t>
      </w:r>
    </w:p>
    <w:p w14:paraId="3D0895F0">
      <w:pPr>
        <w:snapToGrid/>
        <w:spacing w:line="240" w:lineRule="auto"/>
        <w:rPr>
          <w:rFonts w:ascii="宋体" w:hAnsi="宋体" w:eastAsia="宋体" w:cs="宋体"/>
          <w:i w:val="0"/>
          <w:strike w:val="0"/>
          <w:spacing w:val="0"/>
          <w:sz w:val="24"/>
          <w:u w:val="none"/>
        </w:rPr>
      </w:pPr>
      <w:r>
        <w:rPr>
          <w:rFonts w:ascii="宋体" w:hAnsi="宋体" w:eastAsia="宋体" w:cs="宋体"/>
          <w:i w:val="0"/>
          <w:strike w:val="0"/>
          <w:spacing w:val="0"/>
          <w:sz w:val="24"/>
          <w:u w:val="none"/>
        </w:rPr>
        <w:t>5.1.3</w:t>
      </w:r>
      <w:r>
        <w:rPr>
          <w:rFonts w:hint="eastAsia" w:ascii="宋体" w:hAnsi="宋体" w:eastAsia="宋体" w:cs="宋体"/>
          <w:i w:val="0"/>
          <w:strike w:val="0"/>
          <w:spacing w:val="0"/>
          <w:sz w:val="24"/>
          <w:u w:val="none"/>
          <w:lang w:val="en-US" w:eastAsia="zh-CN"/>
        </w:rPr>
        <w:t xml:space="preserve"> </w:t>
      </w:r>
      <w:r>
        <w:rPr>
          <w:rFonts w:ascii="宋体" w:hAnsi="宋体" w:eastAsia="宋体" w:cs="宋体"/>
          <w:i w:val="0"/>
          <w:strike w:val="0"/>
          <w:spacing w:val="0"/>
          <w:sz w:val="24"/>
          <w:u w:val="none"/>
          <w:lang w:val="en-US" w:eastAsia="zh-CN"/>
        </w:rPr>
        <w:t>从材料隐含碳、现场损耗两端控碳，本地、再生、绿色建材指标对应第6章供应链管控要求；精准下料、高周转可降低材料损耗产生的附加碳排放。</w:t>
      </w:r>
    </w:p>
    <w:p w14:paraId="29D653E7">
      <w:pPr>
        <w:snapToGrid/>
        <w:spacing w:line="240" w:lineRule="auto"/>
        <w:rPr>
          <w:rFonts w:ascii="宋体" w:hAnsi="宋体" w:eastAsia="宋体" w:cs="宋体"/>
          <w:i w:val="0"/>
          <w:strike w:val="0"/>
          <w:spacing w:val="0"/>
          <w:sz w:val="24"/>
          <w:u w:val="none"/>
        </w:rPr>
      </w:pPr>
      <w:r>
        <w:rPr>
          <w:rFonts w:ascii="宋体" w:hAnsi="宋体" w:eastAsia="宋体" w:cs="宋体"/>
          <w:i w:val="0"/>
          <w:strike w:val="0"/>
          <w:spacing w:val="0"/>
          <w:sz w:val="24"/>
          <w:u w:val="none"/>
        </w:rPr>
        <w:t>5.1.4</w:t>
      </w:r>
      <w:r>
        <w:rPr>
          <w:rFonts w:hint="eastAsia" w:ascii="宋体" w:hAnsi="宋体" w:eastAsia="宋体" w:cs="宋体"/>
          <w:i w:val="0"/>
          <w:strike w:val="0"/>
          <w:spacing w:val="0"/>
          <w:sz w:val="24"/>
          <w:u w:val="none"/>
          <w:lang w:val="en-US" w:eastAsia="zh-CN"/>
        </w:rPr>
        <w:t xml:space="preserve"> </w:t>
      </w:r>
      <w:r>
        <w:rPr>
          <w:rFonts w:ascii="宋体" w:hAnsi="宋体" w:eastAsia="宋体" w:cs="宋体"/>
          <w:i w:val="0"/>
          <w:strike w:val="0"/>
          <w:spacing w:val="0"/>
          <w:sz w:val="24"/>
          <w:u w:val="none"/>
          <w:lang w:val="en-US" w:eastAsia="zh-CN"/>
        </w:rPr>
        <w:t>湿作业会大量消耗水泥、水与施工机具能源，干法装配、一次成型可大幅减少返工修补，从工艺层面压缩碳排，同时配套 7.4 评分中湿作业≤20% 硬性考核指标。</w:t>
      </w:r>
    </w:p>
    <w:p w14:paraId="2549882F">
      <w:pPr>
        <w:snapToGrid/>
        <w:spacing w:line="240" w:lineRule="auto"/>
        <w:rPr>
          <w:rFonts w:ascii="宋体" w:hAnsi="宋体" w:eastAsia="宋体" w:cs="宋体"/>
          <w:i w:val="0"/>
          <w:strike w:val="0"/>
          <w:spacing w:val="0"/>
          <w:sz w:val="24"/>
          <w:u w:val="none"/>
        </w:rPr>
      </w:pPr>
      <w:r>
        <w:rPr>
          <w:rFonts w:ascii="宋体" w:hAnsi="宋体" w:eastAsia="宋体" w:cs="宋体"/>
          <w:i w:val="0"/>
          <w:strike w:val="0"/>
          <w:spacing w:val="0"/>
          <w:sz w:val="24"/>
          <w:u w:val="none"/>
        </w:rPr>
        <w:t>5.1.12</w:t>
      </w:r>
      <w:r>
        <w:rPr>
          <w:rFonts w:hint="eastAsia" w:ascii="宋体" w:hAnsi="宋体" w:eastAsia="宋体" w:cs="宋体"/>
          <w:i w:val="0"/>
          <w:strike w:val="0"/>
          <w:spacing w:val="0"/>
          <w:sz w:val="24"/>
          <w:u w:val="none"/>
          <w:lang w:val="en-US" w:eastAsia="zh-CN"/>
        </w:rPr>
        <w:t xml:space="preserve"> </w:t>
      </w:r>
      <w:r>
        <w:rPr>
          <w:rFonts w:ascii="宋体" w:hAnsi="宋体" w:eastAsia="宋体" w:cs="宋体"/>
          <w:i w:val="0"/>
          <w:strike w:val="0"/>
          <w:spacing w:val="0"/>
          <w:sz w:val="24"/>
          <w:u w:val="none"/>
          <w:lang w:val="en-US" w:eastAsia="zh-CN"/>
        </w:rPr>
        <w:t>建筑垃圾外运填埋、处置存在运输及固废处理碳排，就地破碎再生利用实现固废闭环减碳，配套 4.3.1 回收利用率指标。</w:t>
      </w:r>
    </w:p>
    <w:p w14:paraId="4C902264">
      <w:pPr>
        <w:snapToGrid/>
        <w:spacing w:line="240" w:lineRule="auto"/>
        <w:rPr>
          <w:rFonts w:ascii="宋体" w:hAnsi="宋体" w:eastAsia="宋体" w:cs="宋体"/>
          <w:i w:val="0"/>
          <w:strike w:val="0"/>
          <w:spacing w:val="0"/>
          <w:sz w:val="24"/>
          <w:u w:val="none"/>
        </w:rPr>
      </w:pPr>
      <w:r>
        <w:rPr>
          <w:rFonts w:ascii="宋体" w:hAnsi="宋体" w:eastAsia="宋体" w:cs="宋体"/>
          <w:i w:val="0"/>
          <w:strike w:val="0"/>
          <w:spacing w:val="0"/>
          <w:sz w:val="24"/>
          <w:u w:val="none"/>
        </w:rPr>
        <w:t>5.1.13</w:t>
      </w:r>
      <w:r>
        <w:rPr>
          <w:rFonts w:hint="eastAsia" w:ascii="宋体" w:hAnsi="宋体" w:eastAsia="宋体" w:cs="宋体"/>
          <w:i w:val="0"/>
          <w:strike w:val="0"/>
          <w:spacing w:val="0"/>
          <w:sz w:val="24"/>
          <w:u w:val="none"/>
          <w:lang w:val="en-US" w:eastAsia="zh-CN"/>
        </w:rPr>
        <w:t xml:space="preserve"> </w:t>
      </w:r>
      <w:r>
        <w:rPr>
          <w:rFonts w:ascii="宋体" w:hAnsi="宋体" w:eastAsia="宋体" w:cs="宋体"/>
          <w:i w:val="0"/>
          <w:strike w:val="0"/>
          <w:spacing w:val="0"/>
          <w:sz w:val="24"/>
          <w:u w:val="none"/>
          <w:lang w:val="en-US" w:eastAsia="zh-CN"/>
        </w:rPr>
        <w:t>明确施工碳核算全口径要求，与第7章碳排放计算边界、计算方法保持统一，确保评估数据可溯源、可核查。</w:t>
      </w:r>
    </w:p>
    <w:p w14:paraId="3944C713">
      <w:pPr>
        <w:kinsoku w:val="0"/>
        <w:autoSpaceDE w:val="0"/>
        <w:autoSpaceDN w:val="0"/>
        <w:adjustRightInd w:val="0"/>
        <w:snapToGrid w:val="0"/>
        <w:spacing w:before="0" w:beforeAutospacing="1" w:after="0" w:afterAutospacing="1" w:line="240" w:lineRule="auto"/>
        <w:jc w:val="left"/>
        <w:textAlignment w:val="baseline"/>
        <w:rPr>
          <w:rFonts w:hint="eastAsia" w:ascii="宋体" w:hAnsi="宋体" w:eastAsia="宋体" w:cs="宋体"/>
          <w:b/>
          <w:bCs/>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5.2 施工准备与临时工程</w:t>
      </w:r>
    </w:p>
    <w:p w14:paraId="1687443F">
      <w:pPr>
        <w:rPr>
          <w:rFonts w:ascii="宋体" w:hAnsi="宋体" w:eastAsia="宋体" w:cs="宋体"/>
          <w:i w:val="0"/>
          <w:strike w:val="0"/>
          <w:spacing w:val="0"/>
          <w:sz w:val="24"/>
          <w:u w:val="none"/>
        </w:rPr>
      </w:pPr>
      <w:bookmarkStart w:id="93" w:name="heading_21"/>
      <w:r>
        <w:rPr>
          <w:rFonts w:ascii="宋体" w:hAnsi="宋体" w:eastAsia="宋体" w:cs="宋体"/>
          <w:i w:val="0"/>
          <w:strike w:val="0"/>
          <w:spacing w:val="0"/>
          <w:sz w:val="24"/>
          <w:u w:val="none"/>
        </w:rPr>
        <w:t>5.2.10</w:t>
      </w:r>
      <w:bookmarkEnd w:id="93"/>
      <w:r>
        <w:rPr>
          <w:rFonts w:hint="eastAsia" w:ascii="宋体" w:hAnsi="宋体" w:eastAsia="宋体" w:cs="宋体"/>
          <w:i w:val="0"/>
          <w:strike w:val="0"/>
          <w:spacing w:val="0"/>
          <w:sz w:val="24"/>
          <w:u w:val="none"/>
          <w:lang w:val="en-US" w:eastAsia="zh-CN"/>
        </w:rPr>
        <w:t xml:space="preserve"> </w:t>
      </w:r>
      <w:r>
        <w:rPr>
          <w:rFonts w:ascii="宋体" w:hAnsi="宋体" w:eastAsia="宋体" w:cs="宋体"/>
          <w:i w:val="0"/>
          <w:strike w:val="0"/>
          <w:spacing w:val="0"/>
          <w:sz w:val="24"/>
          <w:u w:val="none"/>
        </w:rPr>
        <w:t>临时工程同步布设计量点位，实现临建、大型机械能耗分项统计，满足7章碳排放分项核算要求。</w:t>
      </w:r>
    </w:p>
    <w:p w14:paraId="52A7A459">
      <w:pPr>
        <w:rPr>
          <w:rFonts w:ascii="宋体" w:hAnsi="宋体" w:eastAsia="宋体" w:cs="宋体"/>
          <w:i w:val="0"/>
          <w:strike w:val="0"/>
          <w:spacing w:val="0"/>
          <w:sz w:val="24"/>
          <w:u w:val="none"/>
        </w:rPr>
      </w:pPr>
    </w:p>
    <w:p w14:paraId="1069013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eastAsia" w:ascii="宋体" w:hAnsi="宋体" w:eastAsia="宋体" w:cs="宋体"/>
          <w:b/>
          <w:bCs/>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5.8 拆除与回收工程</w:t>
      </w:r>
    </w:p>
    <w:p w14:paraId="5399CCB7">
      <w:pPr>
        <w:snapToGrid/>
        <w:spacing w:line="240" w:lineRule="auto"/>
      </w:pPr>
      <w:r>
        <w:rPr>
          <w:rFonts w:ascii="宋体" w:hAnsi="宋体" w:eastAsia="宋体" w:cs="宋体"/>
          <w:i w:val="0"/>
          <w:strike w:val="0"/>
          <w:spacing w:val="0"/>
          <w:sz w:val="24"/>
          <w:u w:val="none"/>
        </w:rPr>
        <w:t>5.8.1 本条规定了拆除与回收工程的通用低碳要求。</w:t>
      </w:r>
    </w:p>
    <w:p w14:paraId="6A7DFD46">
      <w:pPr>
        <w:snapToGrid/>
        <w:spacing w:line="240" w:lineRule="auto"/>
      </w:pPr>
      <w:r>
        <w:rPr>
          <w:rFonts w:ascii="宋体" w:hAnsi="宋体" w:eastAsia="宋体" w:cs="宋体"/>
          <w:i w:val="0"/>
          <w:strike w:val="0"/>
          <w:spacing w:val="0"/>
          <w:sz w:val="24"/>
          <w:u w:val="none"/>
        </w:rPr>
        <w:t>建筑拆除与回收是建筑全生命周期的最后一个环节，传统拆除方式不仅能耗高、污染大，还会产生大量工程废弃物。制定本条的目的是通过推广绿色拆除工艺、加强材料分类回收和资源化利用，最大限度减少拆除过程的碳排放和资源浪费。</w:t>
      </w:r>
    </w:p>
    <w:p w14:paraId="21A4D80F">
      <w:pPr>
        <w:snapToGrid/>
        <w:spacing w:line="240" w:lineRule="auto"/>
      </w:pPr>
      <w:r>
        <w:rPr>
          <w:rFonts w:ascii="宋体" w:hAnsi="宋体" w:eastAsia="宋体" w:cs="宋体"/>
          <w:i w:val="0"/>
          <w:strike w:val="0"/>
          <w:spacing w:val="0"/>
          <w:sz w:val="24"/>
          <w:u w:val="none"/>
        </w:rPr>
        <w:t>拆除工程开工前应编制零碳拆除专项施工方案，明确拆除范围、拆除顺序、机械配置、安全措施、环保措施、废弃物分类处置方案、碳排放核算方法等。拆除作业应遵循 "先装饰后结构、先机电后土建、先非承重后承重、先上部后下部" 的原则，具体为：拆除吊顶、隔墙、饰面等装饰装修→拆除机电管线、设备→拆除非承重隔墙、填充墙→拆除主体结构（梁、板、柱）→拆除基础。严禁上下同时交叉作业、整体推倒等危险行为。</w:t>
      </w:r>
    </w:p>
    <w:p w14:paraId="55F08A18">
      <w:pPr>
        <w:snapToGrid/>
        <w:spacing w:line="240" w:lineRule="auto"/>
      </w:pPr>
      <w:r>
        <w:rPr>
          <w:rFonts w:ascii="宋体" w:hAnsi="宋体" w:eastAsia="宋体" w:cs="宋体"/>
          <w:i w:val="0"/>
          <w:strike w:val="0"/>
          <w:spacing w:val="0"/>
          <w:sz w:val="24"/>
          <w:u w:val="none"/>
        </w:rPr>
        <w:t>拆除工程应统筹兼顾安全、环保与减碳，采用低扰动、低排放、高回收的工艺，实现安全环保减碳一体化。低扰动工艺采用静力切割、液压破碎钳、高频破碎锤等低振动设备；低排放工艺优先采用电动拆除机械替代燃油机械；高回收工艺采用人工精细拆解有回收价值的构件。</w:t>
      </w:r>
    </w:p>
    <w:p w14:paraId="19C3B674">
      <w:pPr>
        <w:snapToGrid/>
        <w:spacing w:line="240" w:lineRule="auto"/>
      </w:pPr>
      <w:r>
        <w:rPr>
          <w:rFonts w:ascii="宋体" w:hAnsi="宋体" w:eastAsia="宋体" w:cs="宋体"/>
          <w:i w:val="0"/>
          <w:strike w:val="0"/>
          <w:spacing w:val="0"/>
          <w:sz w:val="24"/>
          <w:u w:val="none"/>
        </w:rPr>
        <w:t>拆除过程中应同步进行材料分类回收，可回收利用的材料应及时分拣、清理、存放。</w:t>
      </w:r>
    </w:p>
    <w:p w14:paraId="65C43F4D">
      <w:pPr>
        <w:snapToGrid/>
        <w:spacing w:line="240" w:lineRule="auto"/>
      </w:pPr>
      <w:r>
        <w:rPr>
          <w:rFonts w:ascii="宋体" w:hAnsi="宋体" w:eastAsia="宋体" w:cs="宋体"/>
          <w:i w:val="0"/>
          <w:strike w:val="0"/>
          <w:spacing w:val="0"/>
          <w:sz w:val="24"/>
          <w:u w:val="none"/>
        </w:rPr>
        <w:t>5.8.</w:t>
      </w:r>
      <w:r>
        <w:rPr>
          <w:rFonts w:hint="eastAsia" w:ascii="宋体" w:hAnsi="宋体" w:eastAsia="宋体" w:cs="宋体"/>
          <w:i w:val="0"/>
          <w:strike w:val="0"/>
          <w:spacing w:val="0"/>
          <w:sz w:val="24"/>
          <w:u w:val="none"/>
          <w:lang w:val="en-US" w:eastAsia="zh-CN"/>
        </w:rPr>
        <w:t>10</w:t>
      </w:r>
      <w:r>
        <w:rPr>
          <w:rFonts w:ascii="宋体" w:hAnsi="宋体" w:eastAsia="宋体" w:cs="宋体"/>
          <w:i w:val="0"/>
          <w:strike w:val="0"/>
          <w:spacing w:val="0"/>
          <w:sz w:val="24"/>
          <w:u w:val="none"/>
        </w:rPr>
        <w:t xml:space="preserve"> 本条规定了拆除过程碳排放核算的要求。</w:t>
      </w:r>
    </w:p>
    <w:p w14:paraId="20B5D729">
      <w:pPr>
        <w:snapToGrid/>
        <w:spacing w:line="240" w:lineRule="auto"/>
      </w:pPr>
      <w:r>
        <w:rPr>
          <w:rFonts w:ascii="宋体" w:hAnsi="宋体" w:eastAsia="宋体" w:cs="宋体"/>
          <w:i w:val="0"/>
          <w:strike w:val="0"/>
          <w:spacing w:val="0"/>
          <w:sz w:val="24"/>
          <w:u w:val="none"/>
        </w:rPr>
        <w:t>拆除工程也有碳排放，且往往被忽视。制定本条的目的是要求按月开展碳排放核算，纳入施工阶段总排放，确保零碳目标的完整性。</w:t>
      </w:r>
    </w:p>
    <w:p w14:paraId="59565AD6">
      <w:pPr>
        <w:snapToGrid/>
        <w:spacing w:line="240" w:lineRule="auto"/>
      </w:pPr>
      <w:r>
        <w:rPr>
          <w:rFonts w:ascii="宋体" w:hAnsi="宋体" w:eastAsia="宋体" w:cs="宋体"/>
          <w:i w:val="0"/>
          <w:strike w:val="0"/>
          <w:spacing w:val="0"/>
          <w:sz w:val="24"/>
          <w:u w:val="none"/>
        </w:rPr>
        <w:t>核算范围包括：拆除机械能耗（电、油）、运输车辆能耗、废弃物处置碳排放（填埋场甲烷逸散等）。核算方法应符合《建筑碳排放计算标准》GB/T 51366 及本标准第 7 章规定。</w:t>
      </w:r>
    </w:p>
    <w:p w14:paraId="72595B93">
      <w:pPr>
        <w:snapToGrid/>
        <w:spacing w:line="240" w:lineRule="auto"/>
      </w:pPr>
      <w:r>
        <w:rPr>
          <w:rFonts w:ascii="宋体" w:hAnsi="宋体" w:eastAsia="宋体" w:cs="宋体"/>
          <w:i w:val="0"/>
          <w:strike w:val="0"/>
          <w:spacing w:val="0"/>
          <w:sz w:val="24"/>
          <w:u w:val="none"/>
        </w:rPr>
        <w:t>拆除工程应按月形成核算报告，内容包括：当月拆除面积/体积、各类机械运行时长和能耗、运输车辆次和运距、废弃物种类和处置量、碳排放总量及强度。核算报告应归档。</w:t>
      </w:r>
    </w:p>
    <w:p w14:paraId="4E5FB1CD">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0"/>
        <w:jc w:val="left"/>
        <w:textAlignment w:val="baseline"/>
        <w:rPr>
          <w:rFonts w:ascii="Arial" w:hAnsi="Arial" w:eastAsia="Arial" w:cs="Arial"/>
          <w:snapToGrid w:val="0"/>
          <w:color w:val="000000"/>
          <w:kern w:val="0"/>
          <w:sz w:val="24"/>
          <w:szCs w:val="21"/>
          <w:lang w:val="en-US" w:eastAsia="zh-CN" w:bidi="ar"/>
        </w:rPr>
      </w:pPr>
    </w:p>
    <w:p w14:paraId="67AA8CE4">
      <w:pPr>
        <w:pStyle w:val="3"/>
        <w:snapToGrid/>
        <w:spacing w:line="360" w:lineRule="auto"/>
        <w:ind w:left="0" w:right="0"/>
        <w:jc w:val="center"/>
        <w:rPr>
          <w:rFonts w:hint="default" w:ascii="Arial" w:hAnsi="Arial" w:eastAsia="Arial" w:cs="Arial"/>
          <w:snapToGrid w:val="0"/>
          <w:color w:val="000000"/>
          <w:kern w:val="0"/>
          <w:sz w:val="24"/>
          <w:szCs w:val="21"/>
          <w:lang w:val="en-US" w:eastAsia="zh-CN" w:bidi="ar"/>
        </w:rPr>
      </w:pPr>
      <w:bookmarkStart w:id="94" w:name="_Toc27320"/>
      <w:r>
        <w:rPr>
          <w:rFonts w:hint="default" w:ascii="Arial" w:hAnsi="Arial" w:eastAsia="Arial" w:cs="Arial"/>
          <w:snapToGrid w:val="0"/>
          <w:color w:val="000000"/>
          <w:kern w:val="0"/>
          <w:sz w:val="24"/>
          <w:szCs w:val="21"/>
          <w:lang w:val="en-US" w:eastAsia="zh-CN" w:bidi="ar"/>
        </w:rPr>
        <w:t xml:space="preserve">6 </w:t>
      </w:r>
      <w:r>
        <w:rPr>
          <w:rFonts w:hint="eastAsia" w:ascii="宋体" w:hAnsi="宋体" w:eastAsia="宋体" w:cs="宋体"/>
          <w:snapToGrid w:val="0"/>
          <w:color w:val="000000"/>
          <w:kern w:val="0"/>
          <w:sz w:val="24"/>
          <w:szCs w:val="21"/>
          <w:lang w:val="en-US" w:eastAsia="zh-CN" w:bidi="ar"/>
        </w:rPr>
        <w:t>供应链管理</w:t>
      </w:r>
      <w:bookmarkEnd w:id="94"/>
    </w:p>
    <w:p w14:paraId="35DC638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480" w:firstLineChars="200"/>
        <w:jc w:val="left"/>
        <w:textAlignment w:val="baseline"/>
        <w:rPr>
          <w:rFonts w:hint="default" w:ascii="宋体" w:hAnsi="宋体" w:eastAsia="宋体" w:cs="宋体"/>
          <w:b w:val="0"/>
          <w:bCs w:val="0"/>
          <w:snapToGrid w:val="0"/>
          <w:color w:val="000000"/>
          <w:kern w:val="0"/>
          <w:sz w:val="24"/>
          <w:szCs w:val="24"/>
          <w:lang w:val="en-US" w:eastAsia="zh-CN" w:bidi="ar"/>
        </w:rPr>
      </w:pPr>
      <w:r>
        <w:rPr>
          <w:rFonts w:hint="default" w:ascii="宋体" w:hAnsi="宋体" w:eastAsia="宋体" w:cs="宋体"/>
          <w:b w:val="0"/>
          <w:bCs w:val="0"/>
          <w:snapToGrid w:val="0"/>
          <w:color w:val="000000"/>
          <w:kern w:val="0"/>
          <w:sz w:val="24"/>
          <w:szCs w:val="24"/>
          <w:lang w:val="en-US" w:eastAsia="zh-CN" w:bidi="ar"/>
        </w:rPr>
        <w:t>核心管控边界为施工过程中的材料采购、运输、仓储、回收利用及供应商履约环节，不涵盖建筑材料生产环节的隐含碳排放；无论建筑材料由设计文件选型或业主指定品牌、规格，施工单位均为施工阶段供应链低碳管控的实施主体，需对采购落地、供应商管理、运输仓储、废弃物回收等施工端全流程履行碳排放直接管控责任，通过施工端供应链闭环管控实现零碳施工目标。</w:t>
      </w:r>
    </w:p>
    <w:p w14:paraId="299ECD8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480" w:firstLineChars="200"/>
        <w:jc w:val="left"/>
        <w:textAlignment w:val="baseline"/>
        <w:rPr>
          <w:rFonts w:hint="default" w:ascii="宋体" w:hAnsi="宋体" w:eastAsia="宋体" w:cs="宋体"/>
          <w:b w:val="0"/>
          <w:bCs w:val="0"/>
          <w:snapToGrid w:val="0"/>
          <w:color w:val="000000"/>
          <w:kern w:val="0"/>
          <w:sz w:val="24"/>
          <w:szCs w:val="24"/>
          <w:lang w:val="en-US" w:eastAsia="zh-CN" w:bidi="ar"/>
        </w:rPr>
      </w:pPr>
    </w:p>
    <w:p w14:paraId="2D7190A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default" w:ascii="Arial" w:hAnsi="Arial" w:eastAsia="Arial" w:cs="Arial"/>
          <w:snapToGrid w:val="0"/>
          <w:color w:val="000000"/>
          <w:kern w:val="0"/>
          <w:sz w:val="24"/>
          <w:szCs w:val="21"/>
          <w:lang w:val="en-US" w:eastAsia="zh-CN" w:bidi="ar"/>
        </w:rPr>
      </w:pPr>
      <w:r>
        <w:rPr>
          <w:rFonts w:hint="default" w:ascii="Arial" w:hAnsi="Arial" w:eastAsia="Arial" w:cs="Arial"/>
          <w:snapToGrid w:val="0"/>
          <w:color w:val="000000"/>
          <w:kern w:val="0"/>
          <w:sz w:val="24"/>
          <w:szCs w:val="21"/>
          <w:lang w:val="en-US" w:eastAsia="zh-CN" w:bidi="ar"/>
        </w:rPr>
        <w:t xml:space="preserve">6.1 </w:t>
      </w:r>
      <w:r>
        <w:rPr>
          <w:rFonts w:hint="eastAsia" w:ascii="宋体" w:hAnsi="宋体" w:eastAsia="宋体" w:cs="宋体"/>
          <w:snapToGrid w:val="0"/>
          <w:color w:val="000000"/>
          <w:kern w:val="0"/>
          <w:sz w:val="24"/>
          <w:szCs w:val="21"/>
          <w:lang w:val="en-US" w:eastAsia="zh-CN" w:bidi="ar"/>
        </w:rPr>
        <w:t>一般规定</w:t>
      </w:r>
    </w:p>
    <w:p w14:paraId="3FDE7CD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4"/>
          <w:lang w:val="en-US" w:eastAsia="zh-CN" w:bidi="ar-SA"/>
        </w:rPr>
      </w:pPr>
      <w:r>
        <w:rPr>
          <w:rFonts w:hint="default" w:ascii="宋体" w:hAnsi="宋体" w:eastAsia="宋体" w:cs="宋体"/>
          <w:snapToGrid w:val="0"/>
          <w:color w:val="000000"/>
          <w:kern w:val="0"/>
          <w:sz w:val="24"/>
          <w:szCs w:val="24"/>
          <w:lang w:val="en-US" w:eastAsia="zh-CN" w:bidi="ar-SA"/>
        </w:rPr>
        <w:t>6.1.1 本条明</w:t>
      </w:r>
      <w:r>
        <w:rPr>
          <w:rFonts w:hint="eastAsia" w:ascii="宋体" w:hAnsi="宋体" w:eastAsia="宋体" w:cs="宋体"/>
          <w:snapToGrid w:val="0"/>
          <w:color w:val="000000"/>
          <w:kern w:val="0"/>
          <w:sz w:val="24"/>
          <w:szCs w:val="24"/>
          <w:lang w:val="en-US" w:eastAsia="zh-CN" w:bidi="ar-SA"/>
        </w:rPr>
        <w:t>确了</w:t>
      </w:r>
      <w:r>
        <w:rPr>
          <w:rFonts w:hint="default" w:ascii="宋体" w:hAnsi="宋体" w:eastAsia="宋体" w:cs="宋体"/>
          <w:snapToGrid w:val="0"/>
          <w:color w:val="000000"/>
          <w:kern w:val="0"/>
          <w:sz w:val="24"/>
          <w:szCs w:val="24"/>
          <w:lang w:val="en-US" w:eastAsia="zh-CN" w:bidi="ar-SA"/>
        </w:rPr>
        <w:t>零碳建筑施工供应链管理的体系框架与责任划分，聚焦施工阶段供应链全流程减碳，界定建设单位、施工总承包单位、供应商、运输仓储服务方等主体在施工端的减碳职责与工作界面，不涉及建筑材料生产端碳排放管控。</w:t>
      </w:r>
    </w:p>
    <w:p w14:paraId="5AB82B4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4"/>
          <w:lang w:val="en-US" w:eastAsia="zh-CN" w:bidi="ar-SA"/>
        </w:rPr>
      </w:pPr>
      <w:r>
        <w:rPr>
          <w:rFonts w:hint="default" w:ascii="宋体" w:hAnsi="宋体" w:eastAsia="宋体" w:cs="宋体"/>
          <w:snapToGrid w:val="0"/>
          <w:color w:val="000000"/>
          <w:kern w:val="0"/>
          <w:sz w:val="24"/>
          <w:szCs w:val="24"/>
          <w:lang w:val="en-US" w:eastAsia="zh-CN" w:bidi="ar-SA"/>
        </w:rPr>
        <w:t>6.1.2 施工端供应链管控基本原则</w:t>
      </w:r>
      <w:r>
        <w:rPr>
          <w:rFonts w:hint="eastAsia" w:ascii="宋体" w:hAnsi="宋体" w:eastAsia="宋体" w:cs="宋体"/>
          <w:snapToGrid w:val="0"/>
          <w:color w:val="000000"/>
          <w:kern w:val="0"/>
          <w:sz w:val="24"/>
          <w:szCs w:val="24"/>
          <w:lang w:val="en-US" w:eastAsia="zh-CN" w:bidi="ar-SA"/>
        </w:rPr>
        <w:t>:</w:t>
      </w:r>
      <w:r>
        <w:rPr>
          <w:rFonts w:hint="default" w:ascii="宋体" w:hAnsi="宋体" w:eastAsia="宋体" w:cs="宋体"/>
          <w:snapToGrid w:val="0"/>
          <w:color w:val="000000"/>
          <w:kern w:val="0"/>
          <w:sz w:val="24"/>
          <w:szCs w:val="24"/>
          <w:lang w:val="en-US" w:eastAsia="zh-CN" w:bidi="ar-SA"/>
        </w:rPr>
        <w:t>要求施工单位在材料采购、履约交付等施工环节落实低碳要求，即便材料为</w:t>
      </w:r>
      <w:r>
        <w:rPr>
          <w:rFonts w:hint="eastAsia" w:ascii="宋体" w:hAnsi="宋体" w:eastAsia="宋体" w:cs="宋体"/>
          <w:snapToGrid w:val="0"/>
          <w:color w:val="000000"/>
          <w:kern w:val="0"/>
          <w:sz w:val="24"/>
          <w:szCs w:val="24"/>
          <w:lang w:val="en-US" w:eastAsia="zh-CN" w:bidi="ar-SA"/>
        </w:rPr>
        <w:t>业主方指定施工单位提供</w:t>
      </w:r>
      <w:r>
        <w:rPr>
          <w:rFonts w:hint="default" w:ascii="宋体" w:hAnsi="宋体" w:eastAsia="宋体" w:cs="宋体"/>
          <w:snapToGrid w:val="0"/>
          <w:color w:val="000000"/>
          <w:kern w:val="0"/>
          <w:sz w:val="24"/>
          <w:szCs w:val="24"/>
          <w:lang w:val="en-US" w:eastAsia="zh-CN" w:bidi="ar-SA"/>
        </w:rPr>
        <w:t>，也需在施工实施环节优先选择低碳履约方式、再生及可循环建材，严控施工端高排放行为。</w:t>
      </w:r>
    </w:p>
    <w:p w14:paraId="4153EA3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4"/>
          <w:lang w:val="en-US" w:eastAsia="zh-CN" w:bidi="ar-SA"/>
        </w:rPr>
      </w:pPr>
      <w:r>
        <w:rPr>
          <w:rFonts w:hint="default" w:ascii="宋体" w:hAnsi="宋体" w:eastAsia="宋体" w:cs="宋体"/>
          <w:snapToGrid w:val="0"/>
          <w:color w:val="000000"/>
          <w:kern w:val="0"/>
          <w:sz w:val="24"/>
          <w:szCs w:val="24"/>
          <w:lang w:val="en-US" w:eastAsia="zh-CN" w:bidi="ar-SA"/>
        </w:rPr>
        <w:t>6.1.3 施工单位搭建施工端供应链低碳信息平台，仅采集施工阶段建材采购、运输轨迹、仓储能耗、回收利用等碳数据，不纳入材料生产端碳排放数据，实现施工端供应链碳数据可追溯、可视化。</w:t>
      </w:r>
    </w:p>
    <w:p w14:paraId="124685B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4"/>
          <w:lang w:val="en-US" w:eastAsia="zh-CN" w:bidi="ar-SA"/>
        </w:rPr>
      </w:pPr>
      <w:r>
        <w:rPr>
          <w:rFonts w:hint="default" w:ascii="宋体" w:hAnsi="宋体" w:eastAsia="宋体" w:cs="宋体"/>
          <w:snapToGrid w:val="0"/>
          <w:color w:val="000000"/>
          <w:kern w:val="0"/>
          <w:sz w:val="24"/>
          <w:szCs w:val="24"/>
          <w:lang w:val="en-US" w:eastAsia="zh-CN" w:bidi="ar-SA"/>
        </w:rPr>
        <w:t>6.1.4 施工端供应链碳排放的核算依据与核算边界，核算范围仅限施工阶段采购、运输、仓储、回收等环节，不包含材料生产隐含碳，核算方法执行《建筑碳排放计算标准》GB/T 51366 的相关规定。</w:t>
      </w:r>
    </w:p>
    <w:p w14:paraId="6D9ED8A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Arial" w:hAnsi="Arial" w:eastAsia="Arial" w:cs="Arial"/>
          <w:snapToGrid w:val="0"/>
          <w:color w:val="000000"/>
          <w:kern w:val="0"/>
          <w:sz w:val="24"/>
          <w:szCs w:val="21"/>
          <w:lang w:val="en-US" w:eastAsia="zh-CN" w:bidi="ar"/>
        </w:rPr>
      </w:pPr>
    </w:p>
    <w:p w14:paraId="14765F2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6.2 材料管理</w:t>
      </w:r>
    </w:p>
    <w:p w14:paraId="185AFB9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6.2.2 本条为施工端本地材料采购管控要求，施工单位优先采购项目周边低碳建材，降低施工阶段运输碳排放；若异地采购建材，施工单位需开展施工端碳平衡评估，通过绿色运输、提高再生材料应用比例等方式抵消施工端额外碳排放。</w:t>
      </w:r>
    </w:p>
    <w:p w14:paraId="2B6B26B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6.2.3 本条明确施工端材料选用实施要求，施工单位需优先选用施工端低碳品类，严控施工过程材料损耗与浪费，降低施工端供应链碳排放。</w:t>
      </w:r>
    </w:p>
    <w:p w14:paraId="7693707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6.2.4 本条聚焦施工过程材料损耗控制与循环利用，通过管控材料损耗率、提升周转材料重复利用率，降低施工端供应链碳排放，不涉及材料生产端管控。</w:t>
      </w:r>
    </w:p>
    <w:p w14:paraId="59E0133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6.3 供应商管理</w:t>
      </w:r>
    </w:p>
    <w:p w14:paraId="3C5F321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6.3.1 本条为施工端低碳供应商准入机制要求，施工单位核查供应商施工端履约低碳能力，不对供应商材料生产端碳排放进行管控；即便材料由设计文件选型或业主指定品牌、规格，施工单位也需对供货供应商开展施工端低碳准入核查，确保供应商履约符合施工阶段低碳要求。</w:t>
      </w:r>
    </w:p>
    <w:p w14:paraId="0776114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6.3.2 本条为施工端供应商低碳绩效动态评估要求，评估指标仅限施工阶段供应商履约行为，不涉及材料生产环节，施工单位通过动态评估实现施工端供应商低碳履约的优进劣出。</w:t>
      </w:r>
    </w:p>
    <w:p w14:paraId="14210B7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6.3.3 本条要求施工单位在采购合同中约定施工端低碳条款，明确供应商在运输、交付、回收等施工环节的减碳责任。</w:t>
      </w:r>
    </w:p>
    <w:p w14:paraId="5917538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6.3.4 本条为施工端产业链协同管控要求，施工单位牵头推动供应商在施工端落实减碳措施，不参与材料生产端低碳技术研发与管控，聚焦施工阶段供应链协同减碳。</w:t>
      </w:r>
    </w:p>
    <w:p w14:paraId="2037D55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6.4 运输仓储管理</w:t>
      </w:r>
    </w:p>
    <w:p w14:paraId="7BDF349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6.4.1 大宗建材主要为砂石、水泥、钢材、预制构件等材料，新能源车辆为电动、氢能等新能源。</w:t>
      </w:r>
    </w:p>
    <w:p w14:paraId="1DC26D2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6.4.2 施工单位推行施工端集中运输、统一配送模式，严控施工阶段运输次数与材料损耗，减少施工端供应链碳排放。</w:t>
      </w:r>
    </w:p>
    <w:p w14:paraId="010DB56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6.4.8 本条要求施工单位对施工端运输仓储碳排放超标情况及时纠偏，通过优化运输方案、提高再生材料应用比例等方式，确保施工端供应链总碳排放不突破项目管控目标;</w:t>
      </w:r>
      <w:r>
        <w:rPr>
          <w:rFonts w:hint="eastAsia" w:ascii="宋体" w:hAnsi="宋体" w:eastAsia="宋体" w:cs="宋体"/>
          <w:snapToGrid w:val="0"/>
          <w:color w:val="000000"/>
          <w:kern w:val="0"/>
          <w:sz w:val="24"/>
          <w:szCs w:val="24"/>
          <w:lang w:val="en-US" w:eastAsia="zh-CN" w:bidi="ar"/>
        </w:rPr>
        <w:t>优化运输方案如更换绿色运输方式、缩短运输距离等</w:t>
      </w:r>
      <w:r>
        <w:rPr>
          <w:rFonts w:hint="default" w:ascii="宋体" w:hAnsi="宋体" w:eastAsia="宋体" w:cs="宋体"/>
          <w:snapToGrid w:val="0"/>
          <w:color w:val="000000"/>
          <w:kern w:val="0"/>
          <w:sz w:val="24"/>
          <w:szCs w:val="21"/>
          <w:lang w:val="en-US" w:eastAsia="zh-CN" w:bidi="ar"/>
        </w:rPr>
        <w:t>。</w:t>
      </w:r>
    </w:p>
    <w:p w14:paraId="22F61F9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left"/>
        <w:textAlignment w:val="baseline"/>
        <w:rPr>
          <w:rFonts w:hint="default" w:ascii="宋体" w:hAnsi="宋体" w:eastAsia="宋体" w:cs="宋体"/>
          <w:snapToGrid w:val="0"/>
          <w:color w:val="000000"/>
          <w:kern w:val="0"/>
          <w:sz w:val="24"/>
          <w:szCs w:val="21"/>
          <w:lang w:val="en-US" w:eastAsia="zh-CN" w:bidi="ar"/>
        </w:rPr>
      </w:pPr>
      <w:r>
        <w:rPr>
          <w:rFonts w:hint="default" w:ascii="宋体" w:hAnsi="宋体" w:eastAsia="宋体" w:cs="宋体"/>
          <w:snapToGrid w:val="0"/>
          <w:color w:val="000000"/>
          <w:kern w:val="0"/>
          <w:sz w:val="24"/>
          <w:szCs w:val="21"/>
          <w:lang w:val="en-US" w:eastAsia="zh-CN" w:bidi="ar"/>
        </w:rPr>
        <w:t>6.4.9 本条为跨区域供应商施工端中转仓管控要求，明确中转仓能耗与短途配送低碳标准，避免长距离运输叠加短途高排放配送，严控施工端运输环节碳排放。</w:t>
      </w:r>
    </w:p>
    <w:p w14:paraId="3EA59597">
      <w:pPr>
        <w:keepNext w:val="0"/>
        <w:keepLines w:val="0"/>
        <w:widowControl/>
        <w:suppressLineNumbers w:val="0"/>
        <w:kinsoku w:val="0"/>
        <w:autoSpaceDE w:val="0"/>
        <w:autoSpaceDN w:val="0"/>
        <w:adjustRightInd w:val="0"/>
        <w:snapToGrid w:val="0"/>
        <w:spacing w:before="0" w:beforeAutospacing="0" w:after="0" w:afterAutospacing="0" w:line="240" w:lineRule="auto"/>
        <w:ind w:left="0" w:right="0" w:firstLine="0"/>
        <w:jc w:val="left"/>
        <w:textAlignment w:val="baseline"/>
        <w:rPr>
          <w:rFonts w:hint="default" w:ascii="Arial" w:hAnsi="Arial" w:eastAsia="Arial" w:cs="Arial"/>
          <w:snapToGrid w:val="0"/>
          <w:color w:val="000000"/>
          <w:kern w:val="0"/>
          <w:sz w:val="24"/>
          <w:szCs w:val="21"/>
          <w:lang w:val="en-US" w:eastAsia="zh-CN" w:bidi="ar"/>
        </w:rPr>
      </w:pPr>
    </w:p>
    <w:p w14:paraId="23EA1C3E">
      <w:pPr>
        <w:rPr>
          <w:rFonts w:hint="default" w:ascii="宋体" w:hAnsi="宋体" w:eastAsia="宋体" w:cs="宋体"/>
          <w:b/>
          <w:bCs/>
          <w:snapToGrid w:val="0"/>
          <w:color w:val="000000"/>
          <w:kern w:val="0"/>
          <w:sz w:val="24"/>
          <w:szCs w:val="24"/>
          <w:lang w:val="en-US" w:eastAsia="zh-CN" w:bidi="ar"/>
        </w:rPr>
      </w:pPr>
      <w:r>
        <w:rPr>
          <w:rFonts w:hint="eastAsia" w:ascii="Times New Roman" w:hAnsi="Times New Roman" w:eastAsia="宋体" w:cs="Times New Roman"/>
          <w:b/>
          <w:bCs/>
          <w:color w:val="000000"/>
          <w:sz w:val="24"/>
          <w:szCs w:val="24"/>
          <w:lang w:val="en-US" w:eastAsia="zh-CN"/>
        </w:rPr>
        <w:t xml:space="preserve"> </w:t>
      </w:r>
    </w:p>
    <w:p w14:paraId="7CC833BF">
      <w:pPr>
        <w:pStyle w:val="3"/>
        <w:snapToGrid/>
        <w:spacing w:line="360" w:lineRule="auto"/>
        <w:ind w:left="0" w:right="0"/>
        <w:jc w:val="center"/>
        <w:rPr>
          <w:rFonts w:hint="eastAsia" w:ascii="宋体" w:hAnsi="宋体" w:eastAsia="宋体" w:cs="宋体"/>
          <w:b/>
          <w:bCs/>
          <w:snapToGrid w:val="0"/>
          <w:color w:val="000000"/>
          <w:kern w:val="0"/>
          <w:sz w:val="30"/>
          <w:szCs w:val="30"/>
          <w:lang w:val="en-US" w:eastAsia="zh-CN" w:bidi="ar"/>
        </w:rPr>
      </w:pPr>
      <w:bookmarkStart w:id="95" w:name="_Toc21785"/>
      <w:r>
        <w:rPr>
          <w:rFonts w:hint="eastAsia" w:ascii="宋体" w:hAnsi="宋体" w:eastAsia="宋体" w:cs="宋体"/>
          <w:b/>
          <w:bCs/>
          <w:snapToGrid w:val="0"/>
          <w:color w:val="000000"/>
          <w:kern w:val="0"/>
          <w:sz w:val="30"/>
          <w:szCs w:val="30"/>
          <w:lang w:val="en-US" w:eastAsia="zh-CN" w:bidi="ar"/>
        </w:rPr>
        <w:t>7 低碳建造评估</w:t>
      </w:r>
      <w:bookmarkEnd w:id="95"/>
    </w:p>
    <w:p w14:paraId="5B6AE7C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eastAsia" w:ascii="宋体" w:hAnsi="宋体" w:eastAsia="宋体" w:cs="宋体"/>
          <w:snapToGrid w:val="0"/>
          <w:color w:val="000000"/>
          <w:kern w:val="0"/>
          <w:sz w:val="24"/>
          <w:szCs w:val="21"/>
          <w:lang w:val="en-US" w:eastAsia="zh-CN" w:bidi="ar"/>
        </w:rPr>
      </w:pPr>
      <w:r>
        <w:rPr>
          <w:rFonts w:hint="eastAsia" w:ascii="宋体" w:hAnsi="宋体" w:eastAsia="宋体" w:cs="宋体"/>
          <w:snapToGrid w:val="0"/>
          <w:color w:val="000000"/>
          <w:kern w:val="0"/>
          <w:sz w:val="24"/>
          <w:szCs w:val="21"/>
          <w:lang w:val="en-US" w:eastAsia="zh-CN" w:bidi="ar"/>
        </w:rPr>
        <w:t>7.1 评估流程</w:t>
      </w:r>
    </w:p>
    <w:p w14:paraId="1FA11CFB">
      <w:pPr>
        <w:keepNext w:val="0"/>
        <w:keepLines w:val="0"/>
        <w:widowControl/>
        <w:suppressLineNumbers w:val="0"/>
        <w:pBdr>
          <w:left w:val="none" w:color="auto" w:sz="0" w:space="0"/>
          <w:right w:val="none" w:color="auto" w:sz="0" w:space="0"/>
        </w:pBdr>
        <w:kinsoku w:val="0"/>
        <w:autoSpaceDE w:val="0"/>
        <w:autoSpaceDN w:val="0"/>
        <w:adjustRightInd w:val="0"/>
        <w:snapToGrid w:val="0"/>
        <w:spacing w:before="0" w:beforeAutospacing="0" w:after="0" w:afterAutospacing="0" w:line="360" w:lineRule="atLeast"/>
        <w:ind w:left="0" w:right="0"/>
        <w:jc w:val="left"/>
        <w:textAlignment w:val="baseline"/>
        <w:rPr>
          <w:rFonts w:hint="eastAsia" w:ascii="宋体" w:hAnsi="宋体" w:eastAsia="宋体" w:cs="宋体"/>
          <w:b w:val="0"/>
          <w:bCs w:val="0"/>
          <w:snapToGrid w:val="0"/>
          <w:color w:val="000000"/>
          <w:kern w:val="0"/>
          <w:sz w:val="24"/>
          <w:szCs w:val="24"/>
          <w:lang w:val="en-US" w:eastAsia="zh-CN" w:bidi="ar"/>
        </w:rPr>
      </w:pPr>
      <w:r>
        <w:rPr>
          <w:rFonts w:hint="eastAsia" w:ascii="宋体" w:hAnsi="宋体" w:eastAsia="宋体" w:cs="宋体"/>
          <w:b w:val="0"/>
          <w:bCs w:val="0"/>
          <w:snapToGrid w:val="0"/>
          <w:color w:val="000000"/>
          <w:kern w:val="0"/>
          <w:sz w:val="24"/>
          <w:szCs w:val="24"/>
          <w:lang w:val="en-US" w:eastAsia="zh-CN" w:bidi="ar"/>
        </w:rPr>
        <w:t>7.1.1 评估对象可为单栋建筑、建筑群。评估范围宜覆盖施工全流程及供应链各环节。</w:t>
      </w:r>
    </w:p>
    <w:p w14:paraId="57D5A065">
      <w:pPr>
        <w:keepNext w:val="0"/>
        <w:keepLines w:val="0"/>
        <w:widowControl/>
        <w:suppressLineNumbers w:val="0"/>
        <w:pBdr>
          <w:left w:val="none" w:color="auto" w:sz="0" w:space="0"/>
          <w:right w:val="none" w:color="auto" w:sz="0" w:space="0"/>
        </w:pBdr>
        <w:kinsoku w:val="0"/>
        <w:autoSpaceDE w:val="0"/>
        <w:autoSpaceDN w:val="0"/>
        <w:adjustRightInd w:val="0"/>
        <w:snapToGrid w:val="0"/>
        <w:spacing w:before="0" w:beforeAutospacing="0" w:after="0" w:afterAutospacing="0" w:line="360" w:lineRule="atLeast"/>
        <w:ind w:left="0" w:right="0"/>
        <w:jc w:val="left"/>
        <w:textAlignment w:val="baseline"/>
        <w:rPr>
          <w:rFonts w:hint="eastAsia" w:ascii="宋体" w:hAnsi="宋体" w:eastAsia="宋体" w:cs="宋体"/>
          <w:b w:val="0"/>
          <w:bCs w:val="0"/>
          <w:snapToGrid w:val="0"/>
          <w:color w:val="000000"/>
          <w:kern w:val="0"/>
          <w:sz w:val="24"/>
          <w:szCs w:val="24"/>
          <w:lang w:val="en-US" w:eastAsia="zh-CN" w:bidi="ar"/>
        </w:rPr>
      </w:pPr>
      <w:r>
        <w:rPr>
          <w:rFonts w:hint="eastAsia" w:ascii="宋体" w:hAnsi="宋体" w:eastAsia="宋体" w:cs="宋体"/>
          <w:b w:val="0"/>
          <w:bCs w:val="0"/>
          <w:snapToGrid w:val="0"/>
          <w:color w:val="000000"/>
          <w:kern w:val="0"/>
          <w:sz w:val="24"/>
          <w:szCs w:val="24"/>
          <w:lang w:val="en-US" w:eastAsia="zh-CN" w:bidi="ar"/>
        </w:rPr>
        <w:t>7.1.2  现场核验重点为施工管理中电动设备替代、施工措施中节能工艺落实、供应链管理中本地建材采购及绿色运输等关键环节的执行情况。</w:t>
      </w:r>
    </w:p>
    <w:p w14:paraId="4002F8D1">
      <w:pPr>
        <w:keepNext w:val="0"/>
        <w:keepLines w:val="0"/>
        <w:widowControl/>
        <w:suppressLineNumbers w:val="0"/>
        <w:pBdr>
          <w:left w:val="none" w:color="auto" w:sz="0" w:space="0"/>
          <w:right w:val="none" w:color="auto" w:sz="0" w:space="0"/>
        </w:pBdr>
        <w:kinsoku w:val="0"/>
        <w:autoSpaceDE w:val="0"/>
        <w:autoSpaceDN w:val="0"/>
        <w:adjustRightInd w:val="0"/>
        <w:snapToGrid w:val="0"/>
        <w:spacing w:before="0" w:beforeAutospacing="0" w:after="0" w:afterAutospacing="0" w:line="360" w:lineRule="atLeast"/>
        <w:ind w:left="0" w:right="0"/>
        <w:jc w:val="left"/>
        <w:textAlignment w:val="baseline"/>
        <w:rPr>
          <w:rFonts w:hint="eastAsia" w:ascii="宋体" w:hAnsi="宋体" w:eastAsia="宋体" w:cs="宋体"/>
          <w:b w:val="0"/>
          <w:bCs w:val="0"/>
          <w:snapToGrid w:val="0"/>
          <w:color w:val="000000"/>
          <w:kern w:val="0"/>
          <w:sz w:val="24"/>
          <w:szCs w:val="24"/>
          <w:lang w:val="en-US" w:eastAsia="zh-CN" w:bidi="ar"/>
        </w:rPr>
      </w:pPr>
      <w:r>
        <w:rPr>
          <w:rFonts w:hint="eastAsia" w:ascii="宋体" w:hAnsi="宋体" w:eastAsia="宋体" w:cs="宋体"/>
          <w:b w:val="0"/>
          <w:bCs w:val="0"/>
          <w:snapToGrid w:val="0"/>
          <w:color w:val="000000"/>
          <w:kern w:val="0"/>
          <w:sz w:val="24"/>
          <w:szCs w:val="24"/>
          <w:lang w:val="en-US" w:eastAsia="zh-CN" w:bidi="ar"/>
        </w:rPr>
        <w:t>7.1.3</w:t>
      </w:r>
      <w:r>
        <w:rPr>
          <w:rFonts w:hint="eastAsia" w:ascii="宋体" w:hAnsi="宋体" w:eastAsia="宋体" w:cs="宋体"/>
          <w:b w:val="0"/>
          <w:bCs w:val="0"/>
          <w:snapToGrid w:val="0"/>
          <w:color w:val="000000"/>
          <w:kern w:val="0"/>
          <w:sz w:val="24"/>
          <w:szCs w:val="24"/>
          <w:lang w:val="en-US" w:eastAsia="zh-CN" w:bidi="ar"/>
        </w:rPr>
        <w:tab/>
      </w:r>
      <w:r>
        <w:rPr>
          <w:rFonts w:hint="eastAsia" w:ascii="宋体" w:hAnsi="宋体" w:eastAsia="宋体" w:cs="宋体"/>
          <w:b w:val="0"/>
          <w:bCs w:val="0"/>
          <w:snapToGrid w:val="0"/>
          <w:color w:val="000000"/>
          <w:kern w:val="0"/>
          <w:sz w:val="24"/>
          <w:szCs w:val="24"/>
          <w:lang w:val="en-US" w:eastAsia="zh-CN" w:bidi="ar"/>
        </w:rPr>
        <w:t>排放因子法可参照《建筑碳排放计算标准》执行，核算各类排放来源的排放强度、单类排放总量，进而汇总施工阶段总碳排放。</w:t>
      </w:r>
    </w:p>
    <w:p w14:paraId="3FAD64C1">
      <w:pPr>
        <w:keepNext w:val="0"/>
        <w:keepLines w:val="0"/>
        <w:widowControl/>
        <w:suppressLineNumbers w:val="0"/>
        <w:pBdr>
          <w:left w:val="none" w:color="auto" w:sz="0" w:space="0"/>
          <w:right w:val="none" w:color="auto" w:sz="0" w:space="0"/>
        </w:pBdr>
        <w:kinsoku w:val="0"/>
        <w:autoSpaceDE w:val="0"/>
        <w:autoSpaceDN w:val="0"/>
        <w:adjustRightInd w:val="0"/>
        <w:snapToGrid w:val="0"/>
        <w:spacing w:before="0" w:beforeAutospacing="0" w:after="0" w:afterAutospacing="0" w:line="360" w:lineRule="atLeast"/>
        <w:ind w:left="0" w:right="0"/>
        <w:jc w:val="left"/>
        <w:textAlignment w:val="baseline"/>
        <w:rPr>
          <w:rFonts w:hint="eastAsia" w:ascii="宋体" w:hAnsi="宋体" w:eastAsia="宋体" w:cs="宋体"/>
          <w:b w:val="0"/>
          <w:bCs w:val="0"/>
          <w:snapToGrid w:val="0"/>
          <w:color w:val="000000"/>
          <w:kern w:val="0"/>
          <w:sz w:val="24"/>
          <w:szCs w:val="24"/>
          <w:lang w:val="en-US" w:eastAsia="zh-CN" w:bidi="ar"/>
        </w:rPr>
      </w:pPr>
      <w:r>
        <w:rPr>
          <w:rFonts w:hint="eastAsia" w:ascii="宋体" w:hAnsi="宋体" w:eastAsia="宋体" w:cs="宋体"/>
          <w:b w:val="0"/>
          <w:bCs w:val="0"/>
          <w:snapToGrid w:val="0"/>
          <w:color w:val="000000"/>
          <w:kern w:val="0"/>
          <w:sz w:val="24"/>
          <w:szCs w:val="24"/>
          <w:lang w:val="en-US" w:eastAsia="zh-CN" w:bidi="ar"/>
        </w:rPr>
        <w:t>7.1.5</w:t>
      </w:r>
      <w:r>
        <w:rPr>
          <w:rFonts w:hint="eastAsia" w:ascii="宋体" w:hAnsi="宋体" w:eastAsia="宋体" w:cs="宋体"/>
          <w:b w:val="0"/>
          <w:bCs w:val="0"/>
          <w:snapToGrid w:val="0"/>
          <w:color w:val="000000"/>
          <w:kern w:val="0"/>
          <w:sz w:val="24"/>
          <w:szCs w:val="24"/>
          <w:lang w:val="en-US" w:eastAsia="zh-CN" w:bidi="ar"/>
        </w:rPr>
        <w:tab/>
      </w:r>
      <w:r>
        <w:rPr>
          <w:rFonts w:hint="eastAsia" w:ascii="宋体" w:hAnsi="宋体" w:eastAsia="宋体" w:cs="宋体"/>
          <w:b w:val="0"/>
          <w:bCs w:val="0"/>
          <w:snapToGrid w:val="0"/>
          <w:color w:val="000000"/>
          <w:kern w:val="0"/>
          <w:sz w:val="24"/>
          <w:szCs w:val="24"/>
          <w:lang w:val="en-US" w:eastAsia="zh-CN" w:bidi="ar"/>
        </w:rPr>
        <w:t>施工单位宜按整改建议优化高权重排放来源管控、完善台账核算，需碳汇抵消的项目，应完成碳汇采购、备案并提交凭证后，方可进入复核环节。评估主体应对整改情况进行复核，确认整改到位。</w:t>
      </w:r>
    </w:p>
    <w:p w14:paraId="03457C8A">
      <w:pPr>
        <w:rPr>
          <w:rFonts w:hint="eastAsia" w:ascii="宋体" w:hAnsi="宋体" w:eastAsia="宋体" w:cs="宋体"/>
          <w:b w:val="0"/>
          <w:bCs w:val="0"/>
          <w:sz w:val="24"/>
          <w:szCs w:val="24"/>
          <w:lang w:eastAsia="zh-CN"/>
        </w:rPr>
      </w:pPr>
    </w:p>
    <w:p w14:paraId="48A69AF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eastAsia" w:ascii="宋体" w:hAnsi="宋体" w:eastAsia="宋体" w:cs="宋体"/>
          <w:snapToGrid w:val="0"/>
          <w:color w:val="000000"/>
          <w:kern w:val="0"/>
          <w:sz w:val="24"/>
          <w:szCs w:val="21"/>
          <w:lang w:val="en-US" w:eastAsia="zh-CN" w:bidi="ar"/>
        </w:rPr>
      </w:pPr>
      <w:r>
        <w:rPr>
          <w:rFonts w:hint="eastAsia" w:ascii="宋体" w:hAnsi="宋体" w:eastAsia="宋体" w:cs="宋体"/>
          <w:snapToGrid w:val="0"/>
          <w:color w:val="000000"/>
          <w:kern w:val="0"/>
          <w:sz w:val="24"/>
          <w:szCs w:val="21"/>
          <w:lang w:val="en-US" w:eastAsia="zh-CN" w:bidi="ar"/>
        </w:rPr>
        <w:t>7.2碳排放范围</w:t>
      </w:r>
    </w:p>
    <w:p w14:paraId="7D30FB04">
      <w:pPr>
        <w:pBdr>
          <w:bottom w:val="none" w:color="auto" w:sz="0" w:space="0"/>
        </w:pBdr>
        <w:rPr>
          <w:rFonts w:ascii="宋体" w:hAnsi="宋体" w:eastAsia="宋体" w:cs="宋体"/>
          <w:sz w:val="23"/>
        </w:rPr>
      </w:pPr>
      <w:r>
        <w:rPr>
          <w:rFonts w:ascii="宋体" w:hAnsi="宋体" w:eastAsia="宋体" w:cs="宋体"/>
          <w:sz w:val="23"/>
        </w:rPr>
        <w:t xml:space="preserve">7.2.1-7.2.2 </w:t>
      </w:r>
      <w:r>
        <w:rPr>
          <w:rFonts w:hint="eastAsia" w:ascii="宋体" w:hAnsi="宋体" w:eastAsia="宋体" w:cs="宋体"/>
          <w:sz w:val="23"/>
        </w:rPr>
        <w:tab/>
      </w:r>
      <w:r>
        <w:rPr>
          <w:rFonts w:ascii="宋体" w:hAnsi="宋体" w:eastAsia="宋体" w:cs="宋体"/>
          <w:sz w:val="23"/>
        </w:rPr>
        <w:t>碳排放计算所指机械包括以柴油、汽油、液化石油气、压缩天然气、液化天然气等为燃料的各类施工机械设备，不包括以电力驱动的设备。电动设备与燃油设备的边界划分</w:t>
      </w:r>
      <w:r>
        <w:rPr>
          <w:rFonts w:hint="eastAsia" w:ascii="宋体" w:hAnsi="宋体" w:eastAsia="宋体" w:cs="宋体"/>
          <w:sz w:val="23"/>
        </w:rPr>
        <w:t>，</w:t>
      </w:r>
      <w:r>
        <w:rPr>
          <w:rFonts w:ascii="宋体" w:hAnsi="宋体" w:eastAsia="宋体" w:cs="宋体"/>
          <w:sz w:val="23"/>
        </w:rPr>
        <w:t>以设备动力来源为准。混合动力设备按实际能耗比例拆分核算，无法拆分时应归入燃油设备。排放因子取值</w:t>
      </w:r>
      <w:r>
        <w:rPr>
          <w:rFonts w:hint="eastAsia" w:ascii="宋体" w:hAnsi="宋体" w:eastAsia="宋体" w:cs="宋体"/>
          <w:sz w:val="23"/>
        </w:rPr>
        <w:t>参考</w:t>
      </w:r>
      <w:r>
        <w:rPr>
          <w:rFonts w:ascii="宋体" w:hAnsi="宋体" w:eastAsia="宋体" w:cs="宋体"/>
          <w:sz w:val="23"/>
        </w:rPr>
        <w:t>《企业温室气体排放核算方法与报告指南发电设施》及《建筑碳排放计算标准》，如国家发布新版因子，应采用最新值。</w:t>
      </w:r>
    </w:p>
    <w:p w14:paraId="080B6A5A">
      <w:pPr>
        <w:rPr>
          <w:rFonts w:hint="eastAsia"/>
        </w:rPr>
      </w:pPr>
    </w:p>
    <w:p w14:paraId="42A81315">
      <w:pPr>
        <w:rPr>
          <w:rFonts w:hint="eastAsia"/>
        </w:rPr>
      </w:pPr>
    </w:p>
    <w:p w14:paraId="5025FF3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eastAsia" w:ascii="宋体" w:hAnsi="宋体" w:eastAsia="宋体" w:cs="宋体"/>
          <w:snapToGrid w:val="0"/>
          <w:color w:val="000000"/>
          <w:kern w:val="0"/>
          <w:sz w:val="24"/>
          <w:szCs w:val="21"/>
          <w:lang w:val="en-US" w:eastAsia="zh-CN" w:bidi="ar"/>
        </w:rPr>
      </w:pPr>
      <w:r>
        <w:rPr>
          <w:rFonts w:hint="eastAsia" w:ascii="宋体" w:hAnsi="宋体" w:eastAsia="宋体" w:cs="宋体"/>
          <w:snapToGrid w:val="0"/>
          <w:color w:val="000000"/>
          <w:kern w:val="0"/>
          <w:sz w:val="24"/>
          <w:szCs w:val="21"/>
          <w:lang w:val="en-US" w:eastAsia="zh-CN" w:bidi="ar"/>
        </w:rPr>
        <w:t>7.3碳排放计算</w:t>
      </w:r>
    </w:p>
    <w:p w14:paraId="2CE18D85">
      <w:pPr>
        <w:rPr>
          <w:rFonts w:hint="eastAsia" w:ascii="Times New Roman" w:hAnsi="Times New Roman" w:eastAsia="宋体" w:cs="宋体"/>
          <w:snapToGrid/>
          <w:color w:val="000000"/>
          <w:kern w:val="0"/>
          <w:sz w:val="24"/>
          <w:szCs w:val="21"/>
          <w:lang w:val="en-US" w:eastAsia="zh-CN" w:bidi="ar"/>
        </w:rPr>
      </w:pPr>
      <w:r>
        <w:rPr>
          <w:rFonts w:hint="eastAsia"/>
        </w:rPr>
        <w:t>7.3.2 单位核算基准包括</w:t>
      </w:r>
      <w:r>
        <w:rPr>
          <w:rFonts w:hint="eastAsia" w:ascii="Times New Roman" w:hAnsi="Times New Roman" w:eastAsia="宋体" w:cs="宋体"/>
          <w:snapToGrid/>
          <w:color w:val="000000"/>
          <w:kern w:val="0"/>
          <w:sz w:val="24"/>
          <w:szCs w:val="21"/>
          <w:lang w:val="en-US" w:eastAsia="zh-CN" w:bidi="ar"/>
        </w:rPr>
        <w:t>施工面积、设备工作量、使用时长等。排放强度计算时，碳排放量与核算基准的统计周期应保持一致，不得跨期混用。</w:t>
      </w:r>
    </w:p>
    <w:p w14:paraId="141E5D8D">
      <w:pPr>
        <w:rPr>
          <w:rFonts w:hint="eastAsia" w:ascii="Times New Roman" w:hAnsi="Times New Roman" w:eastAsia="宋体" w:cs="宋体"/>
          <w:snapToGrid/>
          <w:color w:val="000000"/>
          <w:kern w:val="0"/>
          <w:sz w:val="24"/>
          <w:szCs w:val="21"/>
          <w:lang w:val="en-US" w:eastAsia="zh-CN" w:bidi="ar"/>
        </w:rPr>
      </w:pPr>
    </w:p>
    <w:p w14:paraId="5A019983">
      <w:pPr>
        <w:pBdr>
          <w:bottom w:val="none" w:color="auto" w:sz="0" w:space="0"/>
        </w:pBdr>
        <w:rPr>
          <w:rFonts w:hint="eastAsia" w:ascii="Times New Roman" w:hAnsi="Times New Roman" w:eastAsia="宋体" w:cs="宋体"/>
          <w:snapToGrid/>
          <w:color w:val="000000"/>
          <w:kern w:val="0"/>
          <w:sz w:val="24"/>
          <w:szCs w:val="21"/>
          <w:shd w:val="clear" w:color="auto" w:fill="auto"/>
          <w:lang w:val="en-US" w:eastAsia="zh-CN" w:bidi="ar"/>
        </w:rPr>
      </w:pPr>
      <w:r>
        <w:rPr>
          <w:rFonts w:hint="eastAsia" w:ascii="Times New Roman" w:hAnsi="Times New Roman" w:eastAsia="宋体" w:cs="宋体"/>
          <w:snapToGrid/>
          <w:color w:val="000000"/>
          <w:kern w:val="0"/>
          <w:sz w:val="24"/>
          <w:szCs w:val="21"/>
          <w:lang w:val="en-US" w:eastAsia="zh-CN" w:bidi="ar"/>
        </w:rPr>
        <w:t>7.3.3 权重逻辑校验是本标准核算质量控制的核心环节，旨在通过权重分布的合理性判断，识别核算过程中的重大遗漏或重复计算。直接排放总权重参考范围55%~65%，该范围基于典型项目的统计分析得出。间</w:t>
      </w:r>
      <w:r>
        <w:rPr>
          <w:rFonts w:hint="eastAsia" w:ascii="Times New Roman" w:hAnsi="Times New Roman" w:eastAsia="宋体" w:cs="宋体"/>
          <w:snapToGrid/>
          <w:color w:val="000000"/>
          <w:kern w:val="0"/>
          <w:sz w:val="24"/>
          <w:szCs w:val="21"/>
          <w:shd w:val="clear" w:color="auto" w:fill="auto"/>
          <w:lang w:val="en-US" w:eastAsia="zh-CN" w:bidi="ar"/>
        </w:rPr>
        <w:t>接排放与直接排放为互补关系，两者权重之和应为100%。间接排放占比异常时，应同步核查直接排放数据的准确性。权重参考范围仅供参考，非强制性限值。</w:t>
      </w:r>
    </w:p>
    <w:p w14:paraId="2337A0D3">
      <w:pPr>
        <w:rPr>
          <w:rFonts w:hint="eastAsia" w:ascii="Times New Roman" w:hAnsi="Times New Roman" w:eastAsia="宋体" w:cs="Arial"/>
          <w:snapToGrid/>
          <w:color w:val="000000"/>
          <w:kern w:val="0"/>
          <w:sz w:val="24"/>
          <w:szCs w:val="21"/>
          <w:lang w:val="en-US" w:eastAsia="zh-CN" w:bidi="ar"/>
        </w:rPr>
      </w:pPr>
      <w:r>
        <w:rPr>
          <w:rFonts w:hint="eastAsia" w:ascii="Times New Roman" w:hAnsi="Times New Roman" w:eastAsia="宋体" w:cs="宋体"/>
          <w:snapToGrid/>
          <w:color w:val="000000"/>
          <w:kern w:val="0"/>
          <w:sz w:val="24"/>
          <w:szCs w:val="21"/>
          <w:shd w:val="clear" w:color="auto" w:fill="auto"/>
          <w:lang w:val="en-US" w:eastAsia="zh-CN" w:bidi="ar"/>
        </w:rPr>
        <w:t xml:space="preserve">7.3.4 </w:t>
      </w:r>
      <w:r>
        <w:rPr>
          <w:rFonts w:hint="eastAsia" w:ascii="Times New Roman" w:hAnsi="Times New Roman" w:eastAsia="宋体" w:cs="Arial"/>
          <w:snapToGrid/>
          <w:color w:val="000000"/>
          <w:kern w:val="0"/>
          <w:sz w:val="24"/>
          <w:szCs w:val="21"/>
          <w:lang w:val="en-US" w:eastAsia="zh-CN" w:bidi="ar"/>
        </w:rPr>
        <w:t>直接排放总量为各类直接排放单量之和，间接排放总量为各类间接排放单量之和。</w:t>
      </w:r>
    </w:p>
    <w:p w14:paraId="49B26819">
      <w:pPr>
        <w:pBdr>
          <w:bottom w:val="none" w:color="auto" w:sz="0" w:space="0"/>
        </w:pBdr>
        <w:rPr>
          <w:rFonts w:hint="eastAsia" w:ascii="Times New Roman" w:hAnsi="Times New Roman" w:eastAsia="宋体" w:cs="Arial"/>
          <w:snapToGrid/>
          <w:color w:val="000000"/>
          <w:kern w:val="0"/>
          <w:sz w:val="24"/>
          <w:szCs w:val="21"/>
          <w:shd w:val="clear" w:color="auto" w:fill="auto"/>
          <w:lang w:val="en-US" w:eastAsia="zh-CN" w:bidi="ar"/>
        </w:rPr>
      </w:pPr>
      <w:r>
        <w:rPr>
          <w:rFonts w:hint="eastAsia" w:ascii="Times New Roman" w:hAnsi="Times New Roman" w:eastAsia="宋体" w:cs="Arial"/>
          <w:snapToGrid/>
          <w:color w:val="000000"/>
          <w:kern w:val="0"/>
          <w:sz w:val="24"/>
          <w:szCs w:val="21"/>
          <w:shd w:val="clear" w:color="auto" w:fill="auto"/>
          <w:lang w:val="en-US" w:eastAsia="zh-CN" w:bidi="ar"/>
        </w:rPr>
        <w:t>7.3.5 本公式为施工阶段碳排放核算的最终修正环节，仅适用于已按第7.6节完成碳汇抵消程序的项目。未实施碳抵消的项目，无需应用本公式，原核算总碳排放量即为最终结果。</w:t>
      </w:r>
      <w:r>
        <w:rPr>
          <w:rFonts w:hint="eastAsia" w:ascii="宋体" w:hAnsi="宋体" w:eastAsia="宋体" w:cs="宋体"/>
          <w:sz w:val="23"/>
        </w:rPr>
        <w:t>碳抵消量的取值应进行约束，分别约定上限和下限。</w:t>
      </w:r>
      <w:r>
        <w:rPr>
          <w:rFonts w:hint="eastAsia" w:ascii="Times New Roman" w:hAnsi="Times New Roman" w:eastAsia="宋体" w:cs="Arial"/>
          <w:snapToGrid/>
          <w:color w:val="000000"/>
          <w:kern w:val="0"/>
          <w:sz w:val="24"/>
          <w:szCs w:val="21"/>
          <w:shd w:val="clear" w:color="auto" w:fill="auto"/>
          <w:lang w:val="en-US" w:eastAsia="zh-CN" w:bidi="ar"/>
        </w:rPr>
        <w:t>碳抵消修正仅调整最终排放数值，不改变原核算的排放边界、数据来源、计算方法。</w:t>
      </w:r>
    </w:p>
    <w:p w14:paraId="35ED7B0A">
      <w:pPr>
        <w:rPr>
          <w:rFonts w:hint="eastAsia" w:ascii="Times New Roman" w:hAnsi="Times New Roman" w:eastAsia="宋体" w:cs="Arial"/>
          <w:snapToGrid/>
          <w:color w:val="000000"/>
          <w:kern w:val="0"/>
          <w:sz w:val="24"/>
          <w:szCs w:val="21"/>
          <w:shd w:val="clear" w:color="auto" w:fill="auto"/>
          <w:lang w:val="en-US" w:eastAsia="zh-CN" w:bidi="ar"/>
        </w:rPr>
      </w:pPr>
    </w:p>
    <w:p w14:paraId="3F5D4F6D">
      <w:pPr>
        <w:keepNext w:val="0"/>
        <w:keepLines w:val="0"/>
        <w:widowControl/>
        <w:suppressLineNumbers w:val="0"/>
        <w:pBdr>
          <w:top w:val="none" w:color="auto" w:sz="0" w:space="0"/>
          <w:left w:val="none" w:color="auto" w:sz="0" w:space="0"/>
          <w:bottom w:val="none" w:color="auto" w:sz="0" w:space="0"/>
          <w:right w:val="none" w:color="auto" w:sz="0" w:space="0"/>
        </w:pBdr>
        <w:kinsoku w:val="0"/>
        <w:autoSpaceDE w:val="0"/>
        <w:autoSpaceDN w:val="0"/>
        <w:adjustRightInd w:val="0"/>
        <w:snapToGrid w:val="0"/>
        <w:spacing w:before="0" w:beforeAutospacing="0" w:after="0" w:afterAutospacing="0" w:line="360" w:lineRule="atLeast"/>
        <w:ind w:left="0" w:right="0"/>
        <w:jc w:val="left"/>
        <w:textAlignment w:val="baseline"/>
        <w:rPr>
          <w:rFonts w:hint="default" w:ascii="宋体" w:hAnsi="宋体" w:eastAsia="宋体" w:cs="宋体"/>
          <w:b w:val="0"/>
          <w:bCs w:val="0"/>
          <w:snapToGrid w:val="0"/>
          <w:color w:val="000000"/>
          <w:kern w:val="0"/>
          <w:sz w:val="24"/>
          <w:szCs w:val="24"/>
          <w:lang w:val="en-US" w:eastAsia="zh-CN" w:bidi="ar"/>
        </w:rPr>
      </w:pPr>
      <w:r>
        <w:rPr>
          <w:rFonts w:hint="eastAsia" w:ascii="宋体" w:hAnsi="宋体" w:eastAsia="宋体" w:cs="宋体"/>
          <w:b w:val="0"/>
          <w:bCs w:val="0"/>
          <w:snapToGrid w:val="0"/>
          <w:color w:val="000000"/>
          <w:kern w:val="0"/>
          <w:sz w:val="24"/>
          <w:szCs w:val="24"/>
          <w:lang w:val="en-US" w:eastAsia="zh-CN" w:bidi="ar"/>
        </w:rPr>
        <w:t>7.4.2 Ⅳ  负面扣分项 1（6）一般及以上安全事故按照《生产安全事故报告和调查处理条例》第一章第三条规定。</w:t>
      </w:r>
    </w:p>
    <w:p w14:paraId="7F7EE8A4">
      <w:pPr>
        <w:rPr>
          <w:rFonts w:hint="eastAsia" w:ascii="Times New Roman" w:hAnsi="Times New Roman" w:eastAsia="宋体" w:cs="Arial"/>
          <w:snapToGrid/>
          <w:color w:val="000000"/>
          <w:kern w:val="0"/>
          <w:sz w:val="24"/>
          <w:szCs w:val="21"/>
          <w:shd w:val="clear" w:color="auto" w:fill="auto"/>
          <w:lang w:val="en-US" w:eastAsia="zh-CN" w:bidi="ar"/>
        </w:rPr>
      </w:pPr>
    </w:p>
    <w:p w14:paraId="34FD151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eastAsia" w:ascii="宋体" w:hAnsi="宋体" w:eastAsia="宋体" w:cs="宋体"/>
          <w:snapToGrid w:val="0"/>
          <w:color w:val="000000"/>
          <w:kern w:val="0"/>
          <w:sz w:val="24"/>
          <w:szCs w:val="21"/>
          <w:lang w:val="en-US" w:eastAsia="zh-CN" w:bidi="ar"/>
        </w:rPr>
      </w:pPr>
      <w:r>
        <w:rPr>
          <w:rFonts w:hint="eastAsia" w:ascii="宋体" w:hAnsi="宋体" w:eastAsia="宋体" w:cs="宋体"/>
          <w:snapToGrid w:val="0"/>
          <w:color w:val="000000"/>
          <w:kern w:val="0"/>
          <w:sz w:val="24"/>
          <w:szCs w:val="21"/>
          <w:lang w:val="en-US" w:eastAsia="zh-CN" w:bidi="ar"/>
        </w:rPr>
        <w:t>7.5 评估等级划分</w:t>
      </w:r>
    </w:p>
    <w:p w14:paraId="3A4B2F99">
      <w:pPr>
        <w:pBdr>
          <w:bottom w:val="none" w:color="auto" w:sz="0" w:space="0"/>
        </w:pBdr>
        <w:rPr>
          <w:rFonts w:hint="eastAsia"/>
        </w:rPr>
      </w:pPr>
      <w:r>
        <w:rPr>
          <w:rFonts w:hint="eastAsia"/>
        </w:rPr>
        <w:t>7.5.1 总碳排放反映项目实际排放水平，是绝对值门槛。碳减排率反映项目较行业平均或历史水平的改进程度，是相对效率指标。评估总分反映项目低碳管理的系统性和规范性，是过程保障指标。</w:t>
      </w:r>
    </w:p>
    <w:p w14:paraId="255FE05F">
      <w:pPr>
        <w:rPr>
          <w:rFonts w:hint="eastAsia"/>
        </w:rPr>
      </w:pPr>
      <w:r>
        <w:rPr>
          <w:rFonts w:hint="eastAsia"/>
        </w:rPr>
        <w:t>7.5.2 项目必须同时满足评分项总得分要求和施工碳排放要求，方可判定为对应等级。任一指标未达标，均不得升级，应按实际达标的较低等级判定或判定为不达标。</w:t>
      </w:r>
    </w:p>
    <w:p w14:paraId="4385835C">
      <w:pPr>
        <w:rPr>
          <w:rFonts w:hint="eastAsia"/>
        </w:rPr>
      </w:pPr>
    </w:p>
    <w:p w14:paraId="16AC89B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12" w:lineRule="auto"/>
        <w:ind w:left="0" w:right="0" w:firstLine="0"/>
        <w:jc w:val="center"/>
        <w:textAlignment w:val="baseline"/>
        <w:rPr>
          <w:rFonts w:hint="eastAsia" w:ascii="宋体" w:hAnsi="宋体" w:eastAsia="宋体" w:cs="宋体"/>
          <w:snapToGrid w:val="0"/>
          <w:color w:val="000000"/>
          <w:kern w:val="0"/>
          <w:sz w:val="24"/>
          <w:szCs w:val="21"/>
          <w:lang w:val="en-US" w:eastAsia="zh-CN" w:bidi="ar"/>
        </w:rPr>
      </w:pPr>
      <w:r>
        <w:rPr>
          <w:rFonts w:hint="eastAsia" w:ascii="宋体" w:hAnsi="宋体" w:eastAsia="宋体" w:cs="宋体"/>
          <w:snapToGrid w:val="0"/>
          <w:color w:val="000000"/>
          <w:kern w:val="0"/>
          <w:sz w:val="24"/>
          <w:szCs w:val="21"/>
          <w:lang w:val="en-US" w:eastAsia="zh-CN" w:bidi="ar"/>
        </w:rPr>
        <w:t>7.6 碳汇抵消管理</w:t>
      </w:r>
    </w:p>
    <w:p w14:paraId="00248BC0">
      <w:pPr>
        <w:pStyle w:val="14"/>
        <w:keepNext w:val="0"/>
        <w:keepLines w:val="0"/>
        <w:widowControl/>
        <w:suppressLineNumbers w:val="0"/>
        <w:spacing w:before="0" w:beforeAutospacing="0" w:after="0" w:afterAutospacing="0"/>
        <w:ind w:left="0" w:right="0"/>
        <w:jc w:val="left"/>
      </w:pPr>
      <w:r>
        <w:rPr>
          <w:rFonts w:hint="eastAsia" w:ascii="宋体" w:hAnsi="宋体" w:eastAsia="宋体" w:cs="宋体"/>
          <w:sz w:val="23"/>
        </w:rPr>
        <w:t>7.6.2 碳抵消量计算结果应为正值，表示需抵消的超标量；若结果为负值或零，表明未超标，无需实施碳抵消。</w:t>
      </w:r>
    </w:p>
    <w:p w14:paraId="1EB9DB27">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1"/>
          <w:szCs w:val="21"/>
          <w:vertAlign w:val="baseline"/>
          <w:lang w:val="en-US"/>
        </w:rPr>
        <w:t> </w:t>
      </w:r>
    </w:p>
    <w:p w14:paraId="77C4CCD8">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1"/>
          <w:szCs w:val="21"/>
          <w:vertAlign w:val="baseline"/>
          <w:lang w:val="en-US"/>
        </w:rPr>
        <w:t> </w:t>
      </w:r>
    </w:p>
    <w:p w14:paraId="2E573B5A">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1"/>
          <w:szCs w:val="21"/>
          <w:vertAlign w:val="baseline"/>
          <w:lang w:val="en-US"/>
        </w:rPr>
        <w:t> </w:t>
      </w:r>
    </w:p>
    <w:p w14:paraId="086C4CBF">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1"/>
          <w:szCs w:val="21"/>
          <w:vertAlign w:val="baseline"/>
          <w:lang w:val="en-US"/>
        </w:rPr>
        <w:t> </w:t>
      </w:r>
    </w:p>
    <w:p w14:paraId="5C6C2B8F">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1"/>
          <w:szCs w:val="21"/>
          <w:vertAlign w:val="baseline"/>
          <w:lang w:val="en-US"/>
        </w:rPr>
        <w:t> </w:t>
      </w:r>
    </w:p>
    <w:p w14:paraId="7AFDB614">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1"/>
          <w:szCs w:val="21"/>
          <w:vertAlign w:val="baseline"/>
          <w:lang w:val="en-US"/>
        </w:rPr>
        <w:t> </w:t>
      </w:r>
    </w:p>
    <w:p w14:paraId="0176C56D">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1"/>
          <w:szCs w:val="21"/>
          <w:vertAlign w:val="baseline"/>
          <w:lang w:val="en-US"/>
        </w:rPr>
        <w:t> </w:t>
      </w:r>
    </w:p>
    <w:p w14:paraId="6969DB7B">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1"/>
          <w:szCs w:val="21"/>
          <w:vertAlign w:val="baseline"/>
          <w:lang w:val="en-US"/>
        </w:rPr>
        <w:t> </w:t>
      </w:r>
    </w:p>
    <w:p w14:paraId="5F4E80E0">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1"/>
          <w:szCs w:val="21"/>
          <w:vertAlign w:val="baseline"/>
          <w:lang w:val="en-US"/>
        </w:rPr>
        <w:t> </w:t>
      </w:r>
    </w:p>
    <w:p w14:paraId="30CCC8DC">
      <w:pPr>
        <w:pStyle w:val="14"/>
        <w:keepNext w:val="0"/>
        <w:keepLines w:val="0"/>
        <w:widowControl/>
        <w:suppressLineNumbers w:val="0"/>
        <w:spacing w:before="0" w:beforeAutospacing="0" w:after="0" w:afterAutospacing="0"/>
        <w:ind w:left="0" w:right="0"/>
        <w:jc w:val="left"/>
      </w:pPr>
      <w:r>
        <w:rPr>
          <w:rFonts w:hint="default" w:ascii="Arial" w:hAnsi="Arial" w:cs="Arial"/>
          <w:b w:val="0"/>
          <w:bCs w:val="0"/>
          <w:i w:val="0"/>
          <w:iCs w:val="0"/>
          <w:color w:val="000000"/>
          <w:spacing w:val="0"/>
          <w:w w:val="100"/>
          <w:sz w:val="21"/>
          <w:szCs w:val="21"/>
          <w:vertAlign w:val="baseline"/>
          <w:lang w:val="en-US"/>
        </w:rPr>
        <w:t> </w:t>
      </w:r>
    </w:p>
    <w:p w14:paraId="5088091C">
      <w:pPr>
        <w:pStyle w:val="14"/>
        <w:keepNext w:val="0"/>
        <w:keepLines w:val="0"/>
        <w:widowControl/>
        <w:suppressLineNumbers w:val="0"/>
        <w:spacing w:before="0" w:beforeAutospacing="0" w:after="0" w:afterAutospacing="0" w:line="360" w:lineRule="atLeast"/>
        <w:ind w:left="0" w:right="0"/>
        <w:jc w:val="left"/>
      </w:pPr>
      <w:r>
        <w:rPr>
          <w:rFonts w:hint="eastAsia" w:ascii="宋体" w:hAnsi="宋体" w:eastAsia="宋体" w:cs="宋体"/>
          <w:b w:val="0"/>
          <w:bCs w:val="0"/>
          <w:i w:val="0"/>
          <w:iCs w:val="0"/>
          <w:color w:val="000000"/>
          <w:spacing w:val="0"/>
          <w:w w:val="100"/>
          <w:sz w:val="24"/>
          <w:szCs w:val="24"/>
          <w:vertAlign w:val="baseline"/>
          <w:lang w:val="en-US"/>
        </w:rPr>
        <w:t> </w:t>
      </w:r>
    </w:p>
    <w:p w14:paraId="070A26B3">
      <w:pPr>
        <w:pStyle w:val="14"/>
        <w:keepNext w:val="0"/>
        <w:keepLines w:val="0"/>
        <w:widowControl/>
        <w:suppressLineNumbers w:val="0"/>
        <w:spacing w:before="0" w:beforeAutospacing="0" w:after="0" w:afterAutospacing="0" w:line="360" w:lineRule="atLeast"/>
        <w:ind w:left="0" w:right="0"/>
        <w:jc w:val="left"/>
      </w:pPr>
      <w:r>
        <w:rPr>
          <w:rFonts w:hint="eastAsia" w:ascii="宋体" w:hAnsi="宋体" w:eastAsia="宋体" w:cs="宋体"/>
          <w:b w:val="0"/>
          <w:bCs w:val="0"/>
          <w:i w:val="0"/>
          <w:iCs w:val="0"/>
          <w:color w:val="000000"/>
          <w:spacing w:val="0"/>
          <w:w w:val="100"/>
          <w:sz w:val="24"/>
          <w:szCs w:val="24"/>
          <w:vertAlign w:val="baseline"/>
          <w:lang w:val="en-US"/>
        </w:rPr>
        <w:t> </w:t>
      </w:r>
    </w:p>
    <w:p w14:paraId="2015449B">
      <w:pPr>
        <w:pStyle w:val="14"/>
        <w:keepNext w:val="0"/>
        <w:keepLines w:val="0"/>
        <w:widowControl/>
        <w:suppressLineNumbers w:val="0"/>
        <w:spacing w:before="0" w:beforeAutospacing="0" w:after="0" w:afterAutospacing="0" w:line="360" w:lineRule="atLeast"/>
        <w:ind w:left="0" w:right="0"/>
        <w:jc w:val="left"/>
      </w:pPr>
      <w:r>
        <w:rPr>
          <w:rFonts w:hint="eastAsia" w:ascii="宋体" w:hAnsi="宋体" w:eastAsia="宋体" w:cs="宋体"/>
          <w:b w:val="0"/>
          <w:bCs w:val="0"/>
          <w:i w:val="0"/>
          <w:iCs w:val="0"/>
          <w:color w:val="000000"/>
          <w:spacing w:val="0"/>
          <w:w w:val="100"/>
          <w:sz w:val="24"/>
          <w:szCs w:val="24"/>
          <w:vertAlign w:val="baseline"/>
          <w:lang w:val="en-US"/>
        </w:rPr>
        <w:t> </w:t>
      </w:r>
    </w:p>
    <w:p w14:paraId="6EA7A2C7">
      <w:pPr>
        <w:pStyle w:val="14"/>
        <w:keepNext w:val="0"/>
        <w:keepLines w:val="0"/>
        <w:widowControl/>
        <w:suppressLineNumbers w:val="0"/>
        <w:spacing w:before="0" w:beforeAutospacing="0" w:after="0" w:afterAutospacing="0" w:line="360" w:lineRule="atLeast"/>
        <w:ind w:left="0" w:right="0"/>
        <w:jc w:val="left"/>
      </w:pPr>
    </w:p>
    <w:p w14:paraId="6E68B4EE">
      <w:pPr>
        <w:spacing w:line="361" w:lineRule="auto"/>
        <w:ind w:left="24" w:right="13" w:firstLine="481"/>
        <w:jc w:val="both"/>
        <w:rPr>
          <w:rFonts w:ascii="宋体" w:hAnsi="宋体" w:eastAsia="宋体" w:cs="宋体"/>
          <w:sz w:val="24"/>
          <w:szCs w:val="24"/>
        </w:rPr>
      </w:pPr>
    </w:p>
    <w:sectPr>
      <w:footerReference r:id="rId15" w:type="default"/>
      <w:pgSz w:w="11906" w:h="16839"/>
      <w:pgMar w:top="400" w:right="1785" w:bottom="1152" w:left="1785" w:header="0" w:footer="98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3B9B2">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6CB53D">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D6CB53D">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8B7D9">
    <w:pPr>
      <w:spacing w:line="168" w:lineRule="auto"/>
      <w:ind w:left="23"/>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7BF4D2">
                          <w:pPr>
                            <w:pStyle w:val="1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27BF4D2">
                    <w:pPr>
                      <w:pStyle w:val="10"/>
                    </w:pPr>
                    <w:r>
                      <w:fldChar w:fldCharType="begin"/>
                    </w:r>
                    <w:r>
                      <w:instrText xml:space="preserve"> PAGE  \* MERGEFORMAT </w:instrText>
                    </w:r>
                    <w:r>
                      <w:fldChar w:fldCharType="separate"/>
                    </w:r>
                    <w:r>
                      <w:t>3</w:t>
                    </w:r>
                    <w:r>
                      <w:fldChar w:fldCharType="end"/>
                    </w:r>
                  </w:p>
                </w:txbxContent>
              </v:textbox>
            </v:shape>
          </w:pict>
        </mc:Fallback>
      </mc:AlternateContent>
    </w:r>
    <w:r>
      <w:rPr>
        <w:rFonts w:ascii="Calibri" w:hAnsi="Calibri" w:eastAsia="Calibri" w:cs="Calibri"/>
        <w:sz w:val="18"/>
        <w:szCs w:val="18"/>
      </w:rPr>
      <w:t>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3A5F3">
    <w:pPr>
      <w:spacing w:line="169" w:lineRule="auto"/>
      <w:ind w:left="28"/>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4C1AB2">
                          <w:pPr>
                            <w:pStyle w:val="10"/>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114C1AB2">
                    <w:pPr>
                      <w:pStyle w:val="10"/>
                    </w:pPr>
                    <w:r>
                      <w:fldChar w:fldCharType="begin"/>
                    </w:r>
                    <w:r>
                      <w:instrText xml:space="preserve"> PAGE  \* MERGEFORMAT </w:instrText>
                    </w:r>
                    <w:r>
                      <w:fldChar w:fldCharType="separate"/>
                    </w:r>
                    <w:r>
                      <w:t>4</w:t>
                    </w:r>
                    <w:r>
                      <w:fldChar w:fldCharType="end"/>
                    </w:r>
                  </w:p>
                </w:txbxContent>
              </v:textbox>
            </v:shape>
          </w:pict>
        </mc:Fallback>
      </mc:AlternateContent>
    </w:r>
    <w:r>
      <w:rPr>
        <w:rFonts w:ascii="Calibri" w:hAnsi="Calibri" w:eastAsia="Calibri" w:cs="Calibri"/>
        <w:sz w:val="18"/>
        <w:szCs w:val="18"/>
      </w:rPr>
      <w:t>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7D65B">
    <w:pPr>
      <w:spacing w:line="169" w:lineRule="auto"/>
      <w:ind w:right="11"/>
      <w:jc w:val="right"/>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60E85">
                          <w:pPr>
                            <w:pStyle w:val="10"/>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FE60E85">
                    <w:pPr>
                      <w:pStyle w:val="10"/>
                    </w:pPr>
                    <w:r>
                      <w:fldChar w:fldCharType="begin"/>
                    </w:r>
                    <w:r>
                      <w:instrText xml:space="preserve"> PAGE  \* MERGEFORMAT </w:instrText>
                    </w:r>
                    <w:r>
                      <w:fldChar w:fldCharType="separate"/>
                    </w:r>
                    <w:r>
                      <w:t>6</w:t>
                    </w:r>
                    <w:r>
                      <w:fldChar w:fldCharType="end"/>
                    </w:r>
                  </w:p>
                </w:txbxContent>
              </v:textbox>
            </v:shape>
          </w:pict>
        </mc:Fallback>
      </mc:AlternateContent>
    </w:r>
    <w:r>
      <w:rPr>
        <w:rFonts w:ascii="Calibri" w:hAnsi="Calibri" w:eastAsia="Calibri" w:cs="Calibri"/>
        <w:sz w:val="18"/>
        <w:szCs w:val="18"/>
      </w:rPr>
      <w:t>9</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C37A2">
    <w:pPr>
      <w:pStyle w:val="7"/>
      <w:spacing w:line="14" w:lineRule="auto"/>
      <w:rPr>
        <w:sz w:val="2"/>
      </w:rPr>
    </w:pPr>
    <w:r>
      <w:rPr>
        <w:sz w:val="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2074CC">
                          <w:pPr>
                            <w:pStyle w:val="10"/>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202074CC">
                    <w:pPr>
                      <w:pStyle w:val="10"/>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D7BD8">
    <w:pPr>
      <w:spacing w:line="168" w:lineRule="auto"/>
      <w:ind w:right="3"/>
      <w:jc w:val="right"/>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B51A2">
                          <w:pPr>
                            <w:pStyle w:val="10"/>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3EAB51A2">
                    <w:pPr>
                      <w:pStyle w:val="10"/>
                    </w:pPr>
                    <w:r>
                      <w:fldChar w:fldCharType="begin"/>
                    </w:r>
                    <w:r>
                      <w:instrText xml:space="preserve"> PAGE  \* MERGEFORMAT </w:instrText>
                    </w:r>
                    <w:r>
                      <w:fldChar w:fldCharType="separate"/>
                    </w:r>
                    <w:r>
                      <w:t>10</w:t>
                    </w:r>
                    <w:r>
                      <w:fldChar w:fldCharType="end"/>
                    </w:r>
                  </w:p>
                </w:txbxContent>
              </v:textbox>
            </v:shape>
          </w:pict>
        </mc:Fallback>
      </mc:AlternateContent>
    </w:r>
    <w:r>
      <w:rPr>
        <w:rFonts w:ascii="Calibri" w:hAnsi="Calibri" w:eastAsia="Calibri" w:cs="Calibri"/>
        <w:sz w:val="18"/>
        <w:szCs w:val="18"/>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011A3">
    <w:pPr>
      <w:spacing w:line="169" w:lineRule="auto"/>
      <w:ind w:left="28"/>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58F8D3">
                          <w:pPr>
                            <w:pStyle w:val="10"/>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7E58F8D3">
                    <w:pPr>
                      <w:pStyle w:val="10"/>
                    </w:pPr>
                    <w:r>
                      <w:fldChar w:fldCharType="begin"/>
                    </w:r>
                    <w:r>
                      <w:instrText xml:space="preserve"> PAGE  \* MERGEFORMAT </w:instrText>
                    </w:r>
                    <w:r>
                      <w:fldChar w:fldCharType="separate"/>
                    </w:r>
                    <w:r>
                      <w:t>11</w:t>
                    </w:r>
                    <w:r>
                      <w:fldChar w:fldCharType="end"/>
                    </w:r>
                  </w:p>
                </w:txbxContent>
              </v:textbox>
            </v:shape>
          </w:pict>
        </mc:Fallback>
      </mc:AlternateContent>
    </w:r>
    <w:r>
      <w:rPr>
        <w:rFonts w:ascii="Calibri" w:hAnsi="Calibri" w:eastAsia="Calibri" w:cs="Calibri"/>
        <w:sz w:val="18"/>
        <w:szCs w:val="18"/>
      </w:rPr>
      <w:t>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1AE20">
    <w:pPr>
      <w:spacing w:line="169" w:lineRule="auto"/>
      <w:ind w:right="9"/>
      <w:jc w:val="right"/>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414E0">
                          <w:pPr>
                            <w:pStyle w:val="10"/>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9D414E0">
                    <w:pPr>
                      <w:pStyle w:val="10"/>
                    </w:pPr>
                    <w:r>
                      <w:fldChar w:fldCharType="begin"/>
                    </w:r>
                    <w:r>
                      <w:instrText xml:space="preserve"> PAGE  \* MERGEFORMAT </w:instrText>
                    </w:r>
                    <w:r>
                      <w:fldChar w:fldCharType="separate"/>
                    </w:r>
                    <w:r>
                      <w:t>12</w:t>
                    </w:r>
                    <w:r>
                      <w:fldChar w:fldCharType="end"/>
                    </w:r>
                  </w:p>
                </w:txbxContent>
              </v:textbox>
            </v:shape>
          </w:pict>
        </mc:Fallback>
      </mc:AlternateContent>
    </w:r>
    <w:r>
      <w:rPr>
        <w:rFonts w:ascii="Calibri" w:hAnsi="Calibri" w:eastAsia="Calibri" w:cs="Calibri"/>
        <w:sz w:val="18"/>
        <w:szCs w:val="18"/>
      </w:rPr>
      <w:t>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EB6C7">
    <w:pPr>
      <w:spacing w:line="169" w:lineRule="auto"/>
      <w:ind w:left="8240"/>
      <w:rPr>
        <w:rFonts w:ascii="Calibri" w:hAnsi="Calibri" w:eastAsia="Calibri" w:cs="Calibri"/>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5AE1A7">
                          <w:pPr>
                            <w:pStyle w:val="10"/>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6E5AE1A7">
                    <w:pPr>
                      <w:pStyle w:val="10"/>
                    </w:pPr>
                    <w:r>
                      <w:fldChar w:fldCharType="begin"/>
                    </w:r>
                    <w:r>
                      <w:instrText xml:space="preserve"> PAGE  \* MERGEFORMAT </w:instrText>
                    </w:r>
                    <w:r>
                      <w:fldChar w:fldCharType="separate"/>
                    </w:r>
                    <w:r>
                      <w:t>13</w:t>
                    </w:r>
                    <w:r>
                      <w:fldChar w:fldCharType="end"/>
                    </w:r>
                  </w:p>
                </w:txbxContent>
              </v:textbox>
            </v:shape>
          </w:pict>
        </mc:Fallback>
      </mc:AlternateContent>
    </w:r>
    <w:r>
      <w:rPr>
        <w:rFonts w:ascii="Calibri" w:hAnsi="Calibri" w:eastAsia="Calibri" w:cs="Calibri"/>
        <w:spacing w:val="-5"/>
        <w:sz w:val="18"/>
        <w:szCs w:val="18"/>
      </w:rPr>
      <w:t>35</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E566">
    <w:pPr>
      <w:spacing w:line="169" w:lineRule="auto"/>
      <w:ind w:left="34"/>
      <w:rPr>
        <w:rFonts w:ascii="Calibri" w:hAnsi="Calibri" w:eastAsia="Calibri" w:cs="Calibri"/>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8FA13">
                          <w:pPr>
                            <w:pStyle w:val="10"/>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5B68FA13">
                    <w:pPr>
                      <w:pStyle w:val="10"/>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8FEE0">
    <w:pPr>
      <w:pStyle w:val="7"/>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4AC6D"/>
    <w:multiLevelType w:val="singleLevel"/>
    <w:tmpl w:val="8344AC6D"/>
    <w:lvl w:ilvl="0" w:tentative="0">
      <w:start w:val="1"/>
      <w:numFmt w:val="decimal"/>
      <w:lvlText w:val="(%1)"/>
      <w:lvlJc w:val="left"/>
      <w:pPr>
        <w:ind w:left="425" w:hanging="425"/>
      </w:pPr>
      <w:rPr>
        <w:rFonts w:hint="default"/>
      </w:rPr>
    </w:lvl>
  </w:abstractNum>
  <w:abstractNum w:abstractNumId="1">
    <w:nsid w:val="9DF222EC"/>
    <w:multiLevelType w:val="singleLevel"/>
    <w:tmpl w:val="9DF222EC"/>
    <w:lvl w:ilvl="0" w:tentative="0">
      <w:start w:val="1"/>
      <w:numFmt w:val="decimal"/>
      <w:lvlText w:val="(%1)"/>
      <w:lvlJc w:val="left"/>
      <w:pPr>
        <w:ind w:left="425" w:hanging="425"/>
      </w:pPr>
      <w:rPr>
        <w:rFonts w:hint="default"/>
      </w:rPr>
    </w:lvl>
  </w:abstractNum>
  <w:abstractNum w:abstractNumId="2">
    <w:nsid w:val="AF06EF70"/>
    <w:multiLevelType w:val="singleLevel"/>
    <w:tmpl w:val="AF06EF70"/>
    <w:lvl w:ilvl="0" w:tentative="0">
      <w:start w:val="1"/>
      <w:numFmt w:val="decimal"/>
      <w:lvlText w:val="(%1)"/>
      <w:lvlJc w:val="left"/>
      <w:pPr>
        <w:ind w:left="425" w:hanging="425"/>
      </w:pPr>
      <w:rPr>
        <w:rFonts w:hint="default"/>
      </w:rPr>
    </w:lvl>
  </w:abstractNum>
  <w:abstractNum w:abstractNumId="3">
    <w:nsid w:val="B014C801"/>
    <w:multiLevelType w:val="singleLevel"/>
    <w:tmpl w:val="B014C801"/>
    <w:lvl w:ilvl="0" w:tentative="0">
      <w:start w:val="1"/>
      <w:numFmt w:val="decimal"/>
      <w:lvlText w:val="%1."/>
      <w:lvlJc w:val="left"/>
      <w:rPr>
        <w:color w:val="3370FF"/>
      </w:rPr>
    </w:lvl>
  </w:abstractNum>
  <w:abstractNum w:abstractNumId="4">
    <w:nsid w:val="B1A5F186"/>
    <w:multiLevelType w:val="singleLevel"/>
    <w:tmpl w:val="B1A5F186"/>
    <w:lvl w:ilvl="0" w:tentative="0">
      <w:start w:val="1"/>
      <w:numFmt w:val="decimal"/>
      <w:suff w:val="nothing"/>
      <w:lvlText w:val="（%1）"/>
      <w:lvlJc w:val="left"/>
    </w:lvl>
  </w:abstractNum>
  <w:abstractNum w:abstractNumId="5">
    <w:nsid w:val="B3C52058"/>
    <w:multiLevelType w:val="singleLevel"/>
    <w:tmpl w:val="B3C52058"/>
    <w:lvl w:ilvl="0" w:tentative="0">
      <w:start w:val="1"/>
      <w:numFmt w:val="decimal"/>
      <w:lvlText w:val="(%1)"/>
      <w:lvlJc w:val="left"/>
      <w:pPr>
        <w:ind w:left="425" w:hanging="425"/>
      </w:pPr>
      <w:rPr>
        <w:rFonts w:hint="default"/>
      </w:rPr>
    </w:lvl>
  </w:abstractNum>
  <w:abstractNum w:abstractNumId="6">
    <w:nsid w:val="B5012F39"/>
    <w:multiLevelType w:val="singleLevel"/>
    <w:tmpl w:val="B5012F39"/>
    <w:lvl w:ilvl="0" w:tentative="0">
      <w:start w:val="1"/>
      <w:numFmt w:val="decimal"/>
      <w:lvlText w:val="(%1)"/>
      <w:lvlJc w:val="left"/>
      <w:pPr>
        <w:ind w:left="425" w:hanging="425"/>
      </w:pPr>
      <w:rPr>
        <w:rFonts w:hint="default" w:ascii="宋体" w:hAnsi="宋体" w:eastAsia="宋体" w:cs="宋体"/>
        <w:sz w:val="24"/>
        <w:szCs w:val="24"/>
      </w:rPr>
    </w:lvl>
  </w:abstractNum>
  <w:abstractNum w:abstractNumId="7">
    <w:nsid w:val="BBCB93C9"/>
    <w:multiLevelType w:val="singleLevel"/>
    <w:tmpl w:val="BBCB93C9"/>
    <w:lvl w:ilvl="0" w:tentative="0">
      <w:start w:val="1"/>
      <w:numFmt w:val="decimal"/>
      <w:lvlText w:val="(%1)"/>
      <w:lvlJc w:val="left"/>
      <w:pPr>
        <w:ind w:left="425" w:hanging="425"/>
      </w:pPr>
      <w:rPr>
        <w:rFonts w:hint="default"/>
      </w:rPr>
    </w:lvl>
  </w:abstractNum>
  <w:abstractNum w:abstractNumId="8">
    <w:nsid w:val="C15F919C"/>
    <w:multiLevelType w:val="singleLevel"/>
    <w:tmpl w:val="C15F919C"/>
    <w:lvl w:ilvl="0" w:tentative="0">
      <w:start w:val="1"/>
      <w:numFmt w:val="decimal"/>
      <w:lvlText w:val="(%1)"/>
      <w:lvlJc w:val="left"/>
      <w:pPr>
        <w:ind w:left="425" w:hanging="425"/>
      </w:pPr>
      <w:rPr>
        <w:rFonts w:hint="default"/>
      </w:rPr>
    </w:lvl>
  </w:abstractNum>
  <w:abstractNum w:abstractNumId="9">
    <w:nsid w:val="EBEA48A8"/>
    <w:multiLevelType w:val="singleLevel"/>
    <w:tmpl w:val="EBEA48A8"/>
    <w:lvl w:ilvl="0" w:tentative="0">
      <w:start w:val="1"/>
      <w:numFmt w:val="decimal"/>
      <w:lvlText w:val="(%1)"/>
      <w:lvlJc w:val="left"/>
      <w:pPr>
        <w:ind w:left="425" w:hanging="425"/>
      </w:pPr>
      <w:rPr>
        <w:rFonts w:hint="default"/>
      </w:rPr>
    </w:lvl>
  </w:abstractNum>
  <w:abstractNum w:abstractNumId="10">
    <w:nsid w:val="F5D2B738"/>
    <w:multiLevelType w:val="singleLevel"/>
    <w:tmpl w:val="F5D2B738"/>
    <w:lvl w:ilvl="0" w:tentative="0">
      <w:start w:val="1"/>
      <w:numFmt w:val="decimal"/>
      <w:lvlText w:val="(%1)"/>
      <w:lvlJc w:val="left"/>
      <w:pPr>
        <w:ind w:left="425" w:hanging="425"/>
      </w:pPr>
      <w:rPr>
        <w:rFonts w:hint="default"/>
      </w:rPr>
    </w:lvl>
  </w:abstractNum>
  <w:abstractNum w:abstractNumId="11">
    <w:nsid w:val="0E640482"/>
    <w:multiLevelType w:val="singleLevel"/>
    <w:tmpl w:val="0E640482"/>
    <w:lvl w:ilvl="0" w:tentative="0">
      <w:start w:val="2"/>
      <w:numFmt w:val="decimal"/>
      <w:lvlText w:val="%1."/>
      <w:lvlJc w:val="left"/>
      <w:rPr>
        <w:color w:val="3370FF"/>
      </w:rPr>
    </w:lvl>
  </w:abstractNum>
  <w:abstractNum w:abstractNumId="12">
    <w:nsid w:val="2940B819"/>
    <w:multiLevelType w:val="singleLevel"/>
    <w:tmpl w:val="2940B819"/>
    <w:lvl w:ilvl="0" w:tentative="0">
      <w:start w:val="1"/>
      <w:numFmt w:val="decimal"/>
      <w:lvlText w:val="(%1)"/>
      <w:lvlJc w:val="left"/>
      <w:pPr>
        <w:ind w:left="425" w:hanging="425"/>
      </w:pPr>
      <w:rPr>
        <w:rFonts w:hint="default"/>
      </w:rPr>
    </w:lvl>
  </w:abstractNum>
  <w:abstractNum w:abstractNumId="13">
    <w:nsid w:val="3D5EB8D5"/>
    <w:multiLevelType w:val="singleLevel"/>
    <w:tmpl w:val="3D5EB8D5"/>
    <w:lvl w:ilvl="0" w:tentative="0">
      <w:start w:val="1"/>
      <w:numFmt w:val="decimal"/>
      <w:lvlText w:val="(%1)"/>
      <w:lvlJc w:val="left"/>
      <w:pPr>
        <w:ind w:left="425" w:hanging="425"/>
      </w:pPr>
      <w:rPr>
        <w:rFonts w:hint="default" w:ascii="宋体" w:hAnsi="宋体" w:eastAsia="宋体" w:cs="宋体"/>
        <w:sz w:val="24"/>
        <w:szCs w:val="24"/>
      </w:rPr>
    </w:lvl>
  </w:abstractNum>
  <w:abstractNum w:abstractNumId="14">
    <w:nsid w:val="4D763130"/>
    <w:multiLevelType w:val="singleLevel"/>
    <w:tmpl w:val="4D763130"/>
    <w:lvl w:ilvl="0" w:tentative="0">
      <w:start w:val="1"/>
      <w:numFmt w:val="decimal"/>
      <w:suff w:val="nothing"/>
      <w:lvlText w:val="（%1）"/>
      <w:lvlJc w:val="left"/>
    </w:lvl>
  </w:abstractNum>
  <w:abstractNum w:abstractNumId="15">
    <w:nsid w:val="60382F6E"/>
    <w:multiLevelType w:val="singleLevel"/>
    <w:tmpl w:val="60382F6E"/>
    <w:lvl w:ilvl="0" w:tentative="0">
      <w:start w:val="1"/>
      <w:numFmt w:val="decimal"/>
      <w:lvlText w:val="%1."/>
      <w:lvlJc w:val="left"/>
      <w:rPr>
        <w:color w:val="3370FF"/>
      </w:rPr>
    </w:lvl>
  </w:abstractNum>
  <w:abstractNum w:abstractNumId="16">
    <w:nsid w:val="765AB593"/>
    <w:multiLevelType w:val="singleLevel"/>
    <w:tmpl w:val="765AB593"/>
    <w:lvl w:ilvl="0" w:tentative="0">
      <w:start w:val="1"/>
      <w:numFmt w:val="decimal"/>
      <w:lvlText w:val="(%1)"/>
      <w:lvlJc w:val="left"/>
      <w:pPr>
        <w:ind w:left="425" w:hanging="425"/>
      </w:pPr>
      <w:rPr>
        <w:rFonts w:hint="default"/>
      </w:rPr>
    </w:lvl>
  </w:abstractNum>
  <w:num w:numId="1">
    <w:abstractNumId w:val="15"/>
  </w:num>
  <w:num w:numId="2">
    <w:abstractNumId w:val="11"/>
  </w:num>
  <w:num w:numId="3">
    <w:abstractNumId w:val="3"/>
  </w:num>
  <w:num w:numId="4">
    <w:abstractNumId w:val="14"/>
  </w:num>
  <w:num w:numId="5">
    <w:abstractNumId w:val="4"/>
  </w:num>
  <w:num w:numId="6">
    <w:abstractNumId w:val="6"/>
  </w:num>
  <w:num w:numId="7">
    <w:abstractNumId w:val="13"/>
  </w:num>
  <w:num w:numId="8">
    <w:abstractNumId w:val="12"/>
  </w:num>
  <w:num w:numId="9">
    <w:abstractNumId w:val="7"/>
  </w:num>
  <w:num w:numId="10">
    <w:abstractNumId w:val="0"/>
  </w:num>
  <w:num w:numId="11">
    <w:abstractNumId w:val="8"/>
  </w:num>
  <w:num w:numId="12">
    <w:abstractNumId w:val="9"/>
  </w:num>
  <w:num w:numId="13">
    <w:abstractNumId w:val="10"/>
  </w:num>
  <w:num w:numId="14">
    <w:abstractNumId w:val="1"/>
  </w:num>
  <w:num w:numId="15">
    <w:abstractNumId w:val="16"/>
  </w:num>
  <w:num w:numId="16">
    <w:abstractNumId w:val="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rsids>
    <w:rsidRoot w:val="00000000"/>
    <w:rsid w:val="00184F97"/>
    <w:rsid w:val="00596C92"/>
    <w:rsid w:val="009D2229"/>
    <w:rsid w:val="00C11035"/>
    <w:rsid w:val="01AF70E0"/>
    <w:rsid w:val="035E2DA8"/>
    <w:rsid w:val="03800D34"/>
    <w:rsid w:val="03FF2645"/>
    <w:rsid w:val="04222D1F"/>
    <w:rsid w:val="05AD7DDA"/>
    <w:rsid w:val="06EC048E"/>
    <w:rsid w:val="08FD17C0"/>
    <w:rsid w:val="091C4A60"/>
    <w:rsid w:val="0A956F8C"/>
    <w:rsid w:val="0ACA0AE6"/>
    <w:rsid w:val="0B7EF5BF"/>
    <w:rsid w:val="0CB41A4E"/>
    <w:rsid w:val="0DEE2D3E"/>
    <w:rsid w:val="0EEA0789"/>
    <w:rsid w:val="0F5D017B"/>
    <w:rsid w:val="0FE8038D"/>
    <w:rsid w:val="0FF611C1"/>
    <w:rsid w:val="10F44DA9"/>
    <w:rsid w:val="118714DF"/>
    <w:rsid w:val="11C548B1"/>
    <w:rsid w:val="132364CD"/>
    <w:rsid w:val="14353475"/>
    <w:rsid w:val="156C736A"/>
    <w:rsid w:val="157B135B"/>
    <w:rsid w:val="15812569"/>
    <w:rsid w:val="15984751"/>
    <w:rsid w:val="16A1397C"/>
    <w:rsid w:val="186D58D3"/>
    <w:rsid w:val="1A8768D8"/>
    <w:rsid w:val="1AA84175"/>
    <w:rsid w:val="1B656D35"/>
    <w:rsid w:val="1CE1063D"/>
    <w:rsid w:val="1D122271"/>
    <w:rsid w:val="1D5232E9"/>
    <w:rsid w:val="1DCE7945"/>
    <w:rsid w:val="1E890F8D"/>
    <w:rsid w:val="1EBA1146"/>
    <w:rsid w:val="1FAA740D"/>
    <w:rsid w:val="203A7D9D"/>
    <w:rsid w:val="20A7617B"/>
    <w:rsid w:val="20C95670"/>
    <w:rsid w:val="215C4736"/>
    <w:rsid w:val="216A2857"/>
    <w:rsid w:val="22911245"/>
    <w:rsid w:val="233F1C1A"/>
    <w:rsid w:val="2369138D"/>
    <w:rsid w:val="24681644"/>
    <w:rsid w:val="24AB54BE"/>
    <w:rsid w:val="254800FA"/>
    <w:rsid w:val="255B68D6"/>
    <w:rsid w:val="25A70F54"/>
    <w:rsid w:val="26306192"/>
    <w:rsid w:val="269B3E1D"/>
    <w:rsid w:val="27800A53"/>
    <w:rsid w:val="27C2106B"/>
    <w:rsid w:val="296248B4"/>
    <w:rsid w:val="297D6FA8"/>
    <w:rsid w:val="297E0FC2"/>
    <w:rsid w:val="299B1B74"/>
    <w:rsid w:val="2A1A518F"/>
    <w:rsid w:val="2A4D7312"/>
    <w:rsid w:val="2A7F1496"/>
    <w:rsid w:val="2A9156A2"/>
    <w:rsid w:val="2AED28A3"/>
    <w:rsid w:val="2C2E6CCF"/>
    <w:rsid w:val="2CD97140"/>
    <w:rsid w:val="2DEE4968"/>
    <w:rsid w:val="2DFB3102"/>
    <w:rsid w:val="300106F8"/>
    <w:rsid w:val="302352D4"/>
    <w:rsid w:val="303F17D1"/>
    <w:rsid w:val="30A27C8C"/>
    <w:rsid w:val="30E107B4"/>
    <w:rsid w:val="31B561B4"/>
    <w:rsid w:val="32C5226D"/>
    <w:rsid w:val="34670FD0"/>
    <w:rsid w:val="34CE05D4"/>
    <w:rsid w:val="354121F0"/>
    <w:rsid w:val="3563639F"/>
    <w:rsid w:val="36EDC27C"/>
    <w:rsid w:val="375E4C9A"/>
    <w:rsid w:val="37AD13F0"/>
    <w:rsid w:val="37BF2ED1"/>
    <w:rsid w:val="3912478E"/>
    <w:rsid w:val="399565E0"/>
    <w:rsid w:val="3A091EA0"/>
    <w:rsid w:val="3A420CD4"/>
    <w:rsid w:val="3AA0348E"/>
    <w:rsid w:val="3B0E03F8"/>
    <w:rsid w:val="3B7C2623"/>
    <w:rsid w:val="3C017F5D"/>
    <w:rsid w:val="3CC32AE4"/>
    <w:rsid w:val="3CDD0F86"/>
    <w:rsid w:val="3CEE02B3"/>
    <w:rsid w:val="3D924493"/>
    <w:rsid w:val="3FBE71C5"/>
    <w:rsid w:val="3FFB3A90"/>
    <w:rsid w:val="3FFDAA17"/>
    <w:rsid w:val="42232C0D"/>
    <w:rsid w:val="439035EC"/>
    <w:rsid w:val="439316DF"/>
    <w:rsid w:val="43E71EF6"/>
    <w:rsid w:val="44AD0C81"/>
    <w:rsid w:val="44C24001"/>
    <w:rsid w:val="45576E3F"/>
    <w:rsid w:val="468E4AE3"/>
    <w:rsid w:val="46A61876"/>
    <w:rsid w:val="46DD15C6"/>
    <w:rsid w:val="47D14224"/>
    <w:rsid w:val="48AD51DE"/>
    <w:rsid w:val="4AE7656F"/>
    <w:rsid w:val="4CF5766A"/>
    <w:rsid w:val="4D1F45CA"/>
    <w:rsid w:val="4D313A71"/>
    <w:rsid w:val="4E6D1482"/>
    <w:rsid w:val="51334711"/>
    <w:rsid w:val="5147420C"/>
    <w:rsid w:val="52226294"/>
    <w:rsid w:val="533E426A"/>
    <w:rsid w:val="53FE5FF2"/>
    <w:rsid w:val="553152CF"/>
    <w:rsid w:val="55FB55C5"/>
    <w:rsid w:val="566D5AC2"/>
    <w:rsid w:val="56DA167E"/>
    <w:rsid w:val="56F049FE"/>
    <w:rsid w:val="58B42698"/>
    <w:rsid w:val="58F210F1"/>
    <w:rsid w:val="59513E7A"/>
    <w:rsid w:val="5AA12E61"/>
    <w:rsid w:val="5C130C82"/>
    <w:rsid w:val="5C221AFD"/>
    <w:rsid w:val="5C3905A6"/>
    <w:rsid w:val="5C451348"/>
    <w:rsid w:val="5CCD6007"/>
    <w:rsid w:val="5D7F6ADB"/>
    <w:rsid w:val="5DED99D1"/>
    <w:rsid w:val="5EA26B50"/>
    <w:rsid w:val="5EE7A71E"/>
    <w:rsid w:val="5EF5D9E3"/>
    <w:rsid w:val="5F3B508B"/>
    <w:rsid w:val="5F5C5326"/>
    <w:rsid w:val="601A51BA"/>
    <w:rsid w:val="60310869"/>
    <w:rsid w:val="60733B64"/>
    <w:rsid w:val="6098413C"/>
    <w:rsid w:val="61ED495B"/>
    <w:rsid w:val="62330D8C"/>
    <w:rsid w:val="624A590A"/>
    <w:rsid w:val="6401649C"/>
    <w:rsid w:val="6416019A"/>
    <w:rsid w:val="643C74D4"/>
    <w:rsid w:val="64A34F8F"/>
    <w:rsid w:val="65384140"/>
    <w:rsid w:val="65FF96B0"/>
    <w:rsid w:val="66C36C3B"/>
    <w:rsid w:val="693701DD"/>
    <w:rsid w:val="693C6EAC"/>
    <w:rsid w:val="6A374065"/>
    <w:rsid w:val="6B0074AE"/>
    <w:rsid w:val="6B3233DF"/>
    <w:rsid w:val="6BF40694"/>
    <w:rsid w:val="6D6C1532"/>
    <w:rsid w:val="6D763A57"/>
    <w:rsid w:val="6DDC18CC"/>
    <w:rsid w:val="6EE36ECA"/>
    <w:rsid w:val="6EFB453D"/>
    <w:rsid w:val="6FBF6D27"/>
    <w:rsid w:val="704A532F"/>
    <w:rsid w:val="70E8381A"/>
    <w:rsid w:val="7194511B"/>
    <w:rsid w:val="726C367A"/>
    <w:rsid w:val="72DD51CE"/>
    <w:rsid w:val="74732A9E"/>
    <w:rsid w:val="747B7BA5"/>
    <w:rsid w:val="75DF4163"/>
    <w:rsid w:val="77505319"/>
    <w:rsid w:val="77732652"/>
    <w:rsid w:val="777D8D74"/>
    <w:rsid w:val="779E42D6"/>
    <w:rsid w:val="77F697E7"/>
    <w:rsid w:val="79037861"/>
    <w:rsid w:val="7DDF45D7"/>
    <w:rsid w:val="7E110BB2"/>
    <w:rsid w:val="7E154070"/>
    <w:rsid w:val="7E382BC1"/>
    <w:rsid w:val="7EB555C8"/>
    <w:rsid w:val="7ED44A81"/>
    <w:rsid w:val="7FBF303C"/>
    <w:rsid w:val="7FD5285F"/>
    <w:rsid w:val="7FF51395"/>
    <w:rsid w:val="7FFF6210"/>
    <w:rsid w:val="85FF4266"/>
    <w:rsid w:val="BF3DAA94"/>
    <w:rsid w:val="BFBEB14C"/>
    <w:rsid w:val="CB5D6F5D"/>
    <w:rsid w:val="D7EF6098"/>
    <w:rsid w:val="DA7FF8F5"/>
    <w:rsid w:val="E2B250C7"/>
    <w:rsid w:val="E9FC3E81"/>
    <w:rsid w:val="EFDE0404"/>
    <w:rsid w:val="F3BEA292"/>
    <w:rsid w:val="FBD6F30F"/>
    <w:rsid w:val="FF3621F9"/>
    <w:rsid w:val="FF3BF487"/>
    <w:rsid w:val="FF3FF78F"/>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4"/>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0" w:after="0" w:line="408" w:lineRule="auto"/>
      <w:outlineLvl w:val="0"/>
    </w:pPr>
    <w:rPr>
      <w:b/>
      <w:bCs/>
      <w:color w:val="1A1A1A"/>
      <w:sz w:val="36"/>
      <w:szCs w:val="36"/>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link w:val="25"/>
    <w:semiHidden/>
    <w:unhideWhenUsed/>
    <w:qFormat/>
    <w:uiPriority w:val="0"/>
    <w:pPr>
      <w:keepNext/>
      <w:keepLines/>
      <w:widowControl/>
      <w:suppressLineNumbers w:val="0"/>
      <w:kinsoku w:val="0"/>
      <w:autoSpaceDE w:val="0"/>
      <w:autoSpaceDN w:val="0"/>
      <w:adjustRightInd w:val="0"/>
      <w:snapToGrid w:val="0"/>
      <w:spacing w:before="280" w:beforeAutospacing="0" w:after="290" w:afterAutospacing="0" w:line="374" w:lineRule="auto"/>
      <w:ind w:left="0" w:right="0"/>
      <w:jc w:val="left"/>
      <w:outlineLvl w:val="3"/>
    </w:pPr>
    <w:rPr>
      <w:rFonts w:hint="default" w:ascii="Cambria" w:hAnsi="Cambria" w:eastAsia="宋体" w:cs="Times New Roman"/>
      <w:b/>
      <w:bCs/>
      <w:snapToGrid/>
      <w:color w:val="000000"/>
      <w:kern w:val="0"/>
      <w:sz w:val="28"/>
      <w:szCs w:val="28"/>
      <w:lang w:val="en-US" w:eastAsia="zh-CN" w:bidi="ar"/>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Arial" w:hAnsi="Arial" w:cs="Arial"/>
      <w:sz w:val="20"/>
      <w:szCs w:val="20"/>
    </w:rPr>
    <w:tblPr>
      <w:tblCellMar>
        <w:top w:w="0" w:type="dxa"/>
        <w:left w:w="108" w:type="dxa"/>
        <w:bottom w:w="0" w:type="dxa"/>
        <w:right w:w="108" w:type="dxa"/>
      </w:tblCellMar>
    </w:tblPr>
  </w:style>
  <w:style w:type="paragraph" w:styleId="6">
    <w:name w:val="annotation text"/>
    <w:basedOn w:val="1"/>
    <w:link w:val="21"/>
    <w:qFormat/>
    <w:uiPriority w:val="0"/>
    <w:pPr>
      <w:keepNext w:val="0"/>
      <w:keepLines w:val="0"/>
      <w:widowControl/>
      <w:suppressLineNumbers w:val="0"/>
      <w:kinsoku w:val="0"/>
      <w:autoSpaceDE w:val="0"/>
      <w:autoSpaceDN w:val="0"/>
      <w:adjustRightInd w:val="0"/>
      <w:snapToGrid w:val="0"/>
      <w:spacing w:before="0" w:beforeAutospacing="0" w:after="0" w:afterAutospacing="0"/>
      <w:ind w:left="0" w:right="0"/>
      <w:jc w:val="left"/>
    </w:pPr>
    <w:rPr>
      <w:rFonts w:hint="default" w:ascii="Arial" w:hAnsi="Arial" w:eastAsia="Arial" w:cs="Arial"/>
      <w:snapToGrid/>
      <w:color w:val="000000"/>
      <w:kern w:val="0"/>
      <w:sz w:val="21"/>
      <w:szCs w:val="21"/>
      <w:lang w:val="en-US" w:eastAsia="zh-CN" w:bidi="ar"/>
    </w:rPr>
  </w:style>
  <w:style w:type="paragraph" w:styleId="7">
    <w:name w:val="Body Text"/>
    <w:basedOn w:val="1"/>
    <w:semiHidden/>
    <w:qFormat/>
    <w:uiPriority w:val="0"/>
    <w:rPr>
      <w:rFonts w:ascii="Arial" w:hAnsi="Arial" w:eastAsia="Arial" w:cs="Arial"/>
      <w:sz w:val="21"/>
      <w:szCs w:val="21"/>
      <w:lang w:val="en-US" w:eastAsia="en-US" w:bidi="ar-SA"/>
    </w:rPr>
  </w:style>
  <w:style w:type="paragraph" w:styleId="8">
    <w:name w:val="Body Text Indent"/>
    <w:basedOn w:val="1"/>
    <w:link w:val="27"/>
    <w:qFormat/>
    <w:uiPriority w:val="0"/>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pPr>
    <w:rPr>
      <w:rFonts w:hint="default" w:ascii="Times New Roman" w:hAnsi="Times New Roman" w:eastAsia="宋体" w:cs="Arial"/>
      <w:snapToGrid/>
      <w:color w:val="000000"/>
      <w:kern w:val="0"/>
      <w:sz w:val="24"/>
      <w:szCs w:val="21"/>
      <w:lang w:val="en-US" w:eastAsia="zh-CN" w:bidi="ar"/>
    </w:rPr>
  </w:style>
  <w:style w:type="paragraph" w:styleId="9">
    <w:name w:val="toc 3"/>
    <w:basedOn w:val="1"/>
    <w:next w:val="1"/>
    <w:qFormat/>
    <w:uiPriority w:val="0"/>
    <w:pPr>
      <w:ind w:left="840" w:leftChars="4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Normal (Web)"/>
    <w:basedOn w:val="1"/>
    <w:qFormat/>
    <w:uiPriority w:val="0"/>
    <w:rPr>
      <w:sz w:val="24"/>
    </w:rPr>
  </w:style>
  <w:style w:type="table" w:styleId="16">
    <w:name w:val="Table Grid"/>
    <w:basedOn w:val="15"/>
    <w:qFormat/>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18">
    <w:name w:val="Strong"/>
    <w:basedOn w:val="17"/>
    <w:qFormat/>
    <w:uiPriority w:val="0"/>
    <w:rPr>
      <w:b/>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character" w:customStyle="1" w:styleId="21">
    <w:name w:val="批注文字 字符"/>
    <w:basedOn w:val="17"/>
    <w:link w:val="6"/>
    <w:qFormat/>
    <w:uiPriority w:val="0"/>
    <w:rPr>
      <w:rFonts w:hint="default" w:ascii="Arial" w:hAnsi="Arial" w:eastAsia="Arial" w:cs="Arial"/>
      <w:snapToGrid/>
      <w:color w:val="000000"/>
      <w:sz w:val="21"/>
      <w:szCs w:val="21"/>
      <w:lang w:eastAsia="en-US"/>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Table Text"/>
    <w:basedOn w:val="1"/>
    <w:semiHidden/>
    <w:qFormat/>
    <w:uiPriority w:val="0"/>
    <w:rPr>
      <w:rFonts w:ascii="宋体" w:hAnsi="宋体" w:eastAsia="宋体" w:cs="宋体"/>
      <w:sz w:val="20"/>
      <w:szCs w:val="20"/>
      <w:lang w:val="en-US" w:eastAsia="en-US" w:bidi="ar-SA"/>
    </w:rPr>
  </w:style>
  <w:style w:type="character" w:customStyle="1" w:styleId="24">
    <w:name w:val="正文 Char"/>
    <w:link w:val="1"/>
    <w:qFormat/>
    <w:uiPriority w:val="0"/>
    <w:rPr>
      <w:rFonts w:ascii="Arial" w:hAnsi="Arial" w:eastAsia="Arial" w:cs="Arial"/>
      <w:snapToGrid w:val="0"/>
      <w:color w:val="000000"/>
      <w:kern w:val="0"/>
      <w:sz w:val="21"/>
      <w:szCs w:val="21"/>
      <w:lang w:val="en-US" w:eastAsia="en-US" w:bidi="ar-SA"/>
    </w:rPr>
  </w:style>
  <w:style w:type="character" w:customStyle="1" w:styleId="25">
    <w:name w:val="标题 4 字符"/>
    <w:basedOn w:val="17"/>
    <w:link w:val="5"/>
    <w:qFormat/>
    <w:uiPriority w:val="0"/>
    <w:rPr>
      <w:rFonts w:ascii="Cambria" w:hAnsi="Cambria" w:eastAsia="宋体" w:cs="Times New Roman"/>
      <w:b/>
      <w:bCs/>
      <w:snapToGrid/>
      <w:color w:val="000000"/>
      <w:sz w:val="28"/>
      <w:szCs w:val="28"/>
      <w:lang w:eastAsia="en-US"/>
    </w:rPr>
  </w:style>
  <w:style w:type="paragraph" w:customStyle="1" w:styleId="26">
    <w:name w:val="WPSOffice手动目录 3"/>
    <w:qFormat/>
    <w:uiPriority w:val="0"/>
    <w:pPr>
      <w:ind w:leftChars="400"/>
    </w:pPr>
    <w:rPr>
      <w:rFonts w:ascii="Times New Roman" w:hAnsi="Times New Roman" w:eastAsia="宋体" w:cs="Times New Roman"/>
      <w:sz w:val="20"/>
      <w:szCs w:val="20"/>
    </w:rPr>
  </w:style>
  <w:style w:type="character" w:customStyle="1" w:styleId="27">
    <w:name w:val="正文文本缩进 字符"/>
    <w:basedOn w:val="17"/>
    <w:link w:val="8"/>
    <w:qFormat/>
    <w:uiPriority w:val="0"/>
    <w:rPr>
      <w:rFonts w:hint="default" w:ascii="Times New Roman" w:hAnsi="Times New Roman" w:eastAsia="宋体" w:cs="Times New Roman"/>
      <w:snapToGrid/>
      <w:color w:val="000000"/>
      <w:sz w:val="24"/>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de33ba0a-628b-4df1-a0c0-a208ee3b9225</errorID>
      <errorWord>1</errorWord>
      <group>L1_Format</group>
      <groupName>格式问题</groupName>
      <ability>L2_Ordinal</ability>
      <abilityName>序号格式</abilityName>
      <candidateList>
        <item>2</item>
      </candidateList>
      <explain>标题顺序错误，请检查标题顺序是否合理。</explain>
      <paraID>149F319B</paraID>
      <start>0</start>
      <end>1</end>
      <status>unmodified</status>
      <modifiedWord/>
      <trackRevisions>false</trackRevisions>
    </reviewItem>
    <reviewItem>
      <errorID>d5eb2ad0-c7f5-4df7-a4a3-1c82f1dce797</errorID>
      <errorWord>3</errorWord>
      <group>L1_Format</group>
      <groupName>格式问题</groupName>
      <ability>L2_Ordinal</ability>
      <abilityName>序号格式</abilityName>
      <candidateList>
        <item>2</item>
      </candidateList>
      <explain>标题顺序错误，请检查标题顺序是否合理。</explain>
      <paraID>7AB2FD8E</paraID>
      <start>0</start>
      <end>1</end>
      <status>unmodified</status>
      <modifiedWord/>
      <trackRevisions>false</trackRevisions>
    </reviewItem>
    <reviewItem>
      <errorID>6ea151cb-2c9c-4ffd-bff2-1bbce592d320</errorID>
      <errorWord>Basic Provisions</errorWord>
      <group>L1_Other</group>
      <groupName>其他问题</groupName>
      <ability>L2_Consistency</ability>
      <abilityName>一致性检查</abilityName>
      <candidateList>
        <item>Basic Requirements</item>
      </candidateList>
      <explain>实体一致性，英文目录中该章节标题与前文对应标题表述不一致，前文目录对应英文标题为Basic Requirements</explain>
      <paraID>7AB2FD8E</paraID>
      <start>6</start>
      <end>22</end>
      <status>unmodified</status>
      <modifiedWord/>
      <trackRevisions>false</trackRevisions>
    </reviewItem>
    <reviewItem>
      <errorID>3863ed90-aad0-4690-95ec-1c336a422a8a</errorID>
      <errorWord>；</errorWord>
      <group>L1_Punc</group>
      <groupName>标点问题</groupName>
      <ability>L2_Punc_CN</ability>
      <abilityName>标点符号问题</abilityName>
      <candidateList>
        <item>。</item>
      </candidateList>
      <explain/>
      <paraID>28B17648</paraID>
      <start>33</start>
      <end>34</end>
      <status>unmodified</status>
      <modifiedWord/>
      <trackRevisions>false</trackRevisions>
    </reviewItem>
    <reviewItem>
      <errorID>ee4305c1-49f6-46b2-8058-03204626fbc3</errorID>
      <errorWord>；</errorWord>
      <group>L1_Punc</group>
      <groupName>标点问题</groupName>
      <ability>L2_Punc_CN</ability>
      <abilityName>标点符号问题</abilityName>
      <candidateList>
        <item>。</item>
      </candidateList>
      <explain/>
      <paraID>51ABB021</paraID>
      <start>49</start>
      <end>50</end>
      <status>unmodified</status>
      <modifiedWord/>
      <trackRevisions>false</trackRevisions>
    </reviewItem>
    <reviewItem>
      <errorID>2acea7e5-386e-467a-8f28-7c2d645066ca</errorID>
      <errorWord>；</errorWord>
      <group>L1_Punc</group>
      <groupName>标点问题</groupName>
      <ability>L2_Punc_CN</ability>
      <abilityName>标点符号问题</abilityName>
      <candidateList>
        <item>。</item>
      </candidateList>
      <explain/>
      <paraID>48705F57</paraID>
      <start>38</start>
      <end>39</end>
      <status>unmodified</status>
      <modifiedWord/>
      <trackRevisions>false</trackRevisions>
    </reviewItem>
    <reviewItem>
      <errorID>6a37e628-cf6f-4fc4-97aa-5cb621d719e5</errorID>
      <errorWord>；</errorWord>
      <group>L1_Punc</group>
      <groupName>标点问题</groupName>
      <ability>L2_Punc_CN</ability>
      <abilityName>标点符号问题</abilityName>
      <candidateList>
        <item>。</item>
      </candidateList>
      <explain/>
      <paraID> EB2C2A9</paraID>
      <start>42</start>
      <end>43</end>
      <status>unmodified</status>
      <modifiedWord/>
      <trackRevisions>false</trackRevisions>
    </reviewItem>
    <reviewItem>
      <errorID>610ef9b6-7b5b-4f09-9ae5-be7cb04f6334</errorID>
      <errorWord>；</errorWord>
      <group>L1_Punc</group>
      <groupName>标点问题</groupName>
      <ability>L2_Punc_CN</ability>
      <abilityName>标点符号问题</abilityName>
      <candidateList>
        <item>。</item>
      </candidateList>
      <explain/>
      <paraID>575FC6B6</paraID>
      <start>55</start>
      <end>56</end>
      <status>unmodified</status>
      <modifiedWord/>
      <trackRevisions>false</trackRevisions>
    </reviewItem>
    <reviewItem>
      <errorID>0e9d145e-7a6b-49ac-9ab3-591e81327105</errorID>
      <errorWord>；</errorWord>
      <group>L1_Punc</group>
      <groupName>标点问题</groupName>
      <ability>L2_Punc_CN</ability>
      <abilityName>标点符号问题</abilityName>
      <candidateList>
        <item>。</item>
      </candidateList>
      <explain/>
      <paraID>1A025648</paraID>
      <start>57</start>
      <end>58</end>
      <status>unmodified</status>
      <modifiedWord/>
      <trackRevisions>false</trackRevisions>
    </reviewItem>
    <reviewItem>
      <errorID>76f5572d-90e7-4c17-bd42-b62a96f4164e</errorID>
      <errorWord>；</errorWord>
      <group>L1_Punc</group>
      <groupName>标点问题</groupName>
      <ability>L2_Punc_CN</ability>
      <abilityName>标点符号问题</abilityName>
      <candidateList>
        <item>。</item>
      </candidateList>
      <explain/>
      <paraID> 4451890</paraID>
      <start>42</start>
      <end>43</end>
      <status>unmodified</status>
      <modifiedWord/>
      <trackRevisions>false</trackRevisions>
    </reviewItem>
    <reviewItem>
      <errorID>0a373726-3306-459d-bd79-f9b8ca60d3a1</errorID>
      <errorWord> </errorWord>
      <group>L1_Punc</group>
      <groupName>标点问题</groupName>
      <ability>L2_Punc_CN</ability>
      <abilityName>标点符号问题</abilityName>
      <candidateList>
        <item>. </item>
      </candidateList>
      <explain/>
      <paraID>4B44AF2F</paraID>
      <start>1</start>
      <end>2</end>
      <status>unmodified</status>
      <modifiedWord/>
      <trackRevisions>false</trackRevisions>
    </reviewItem>
    <reviewItem>
      <errorID>61849409-23c1-4c9a-96bd-aa14e72a0da5</errorID>
      <errorWord> </errorWord>
      <group>L1_Punc</group>
      <groupName>标点问题</groupName>
      <ability>L2_Punc_CN</ability>
      <abilityName>标点符号问题</abilityName>
      <candidateList>
        <item>. </item>
      </candidateList>
      <explain/>
      <paraID>6DA210E8</paraID>
      <start>1</start>
      <end>2</end>
      <status>unmodified</status>
      <modifiedWord/>
      <trackRevisions>false</trackRevisions>
    </reviewItem>
    <reviewItem>
      <errorID>06971117-28e4-4815-894d-fbbf838f7ef9</errorID>
      <errorWord> </errorWord>
      <group>L1_Punc</group>
      <groupName>标点问题</groupName>
      <ability>L2_Punc_CN</ability>
      <abilityName>标点符号问题</abilityName>
      <candidateList>
        <item>. </item>
      </candidateList>
      <explain/>
      <paraID>7DC06A67</paraID>
      <start>1</start>
      <end>2</end>
      <status>unmodified</status>
      <modifiedWord/>
      <trackRevisions>false</trackRevisions>
    </reviewItem>
    <reviewItem>
      <errorID>90ab9552-3f6c-4b39-9307-8128b203a421</errorID>
      <errorWord> </errorWord>
      <group>L1_Punc</group>
      <groupName>标点问题</groupName>
      <ability>L2_Punc_CN</ability>
      <abilityName>标点符号问题</abilityName>
      <candidateList>
        <item>. </item>
      </candidateList>
      <explain/>
      <paraID>5098B3D3</paraID>
      <start>1</start>
      <end>2</end>
      <status>unmodified</status>
      <modifiedWord/>
      <trackRevisions>false</trackRevisions>
    </reviewItem>
    <reviewItem>
      <errorID>76dd704c-acdd-4a37-a804-a65e5195c62a</errorID>
      <errorWord> </errorWord>
      <group>L1_Punc</group>
      <groupName>标点问题</groupName>
      <ability>L2_Punc_CN</ability>
      <abilityName>标点符号问题</abilityName>
      <candidateList>
        <item>. </item>
      </candidateList>
      <explain/>
      <paraID>2D622E66</paraID>
      <start>1</start>
      <end>2</end>
      <status>unmodified</status>
      <modifiedWord/>
      <trackRevisions>false</trackRevisions>
    </reviewItem>
    <reviewItem>
      <errorID>92a70ef5-69c4-4a5d-9080-08e9ef5b61b9</errorID>
      <errorWord> </errorWord>
      <group>L1_Punc</group>
      <groupName>标点问题</groupName>
      <ability>L2_Punc_CN</ability>
      <abilityName>标点符号问题</abilityName>
      <candidateList>
        <item>. </item>
      </candidateList>
      <explain/>
      <paraID>4573327E</paraID>
      <start>1</start>
      <end>2</end>
      <status>unmodified</status>
      <modifiedWord/>
      <trackRevisions>false</trackRevisions>
    </reviewItem>
    <reviewItem>
      <errorID>96e538fc-d388-4b0f-93bb-f9d653acf1f9</errorID>
      <errorWord>；</errorWord>
      <group>L1_Punc</group>
      <groupName>标点问题</groupName>
      <ability>L2_Punc_CN</ability>
      <abilityName>标点符号问题</abilityName>
      <candidateList>
        <item>。</item>
      </candidateList>
      <explain/>
      <paraID>4573327E</paraID>
      <start>76</start>
      <end>77</end>
      <status>unmodified</status>
      <modifiedWord/>
      <trackRevisions>false</trackRevisions>
    </reviewItem>
    <reviewItem>
      <errorID>200b0dc7-a6d4-4993-ac5d-cb5ae9474d0b</errorID>
      <errorWord> </errorWord>
      <group>L1_Punc</group>
      <groupName>标点问题</groupName>
      <ability>L2_Punc_CN</ability>
      <abilityName>标点符号问题</abilityName>
      <candidateList>
        <item>. </item>
      </candidateList>
      <explain/>
      <paraID> B2BFAA8</paraID>
      <start>1</start>
      <end>2</end>
      <status>unmodified</status>
      <modifiedWord/>
      <trackRevisions>false</trackRevisions>
    </reviewItem>
    <reviewItem>
      <errorID>7ef135cd-c4f9-4f90-9842-e04dd1c2c7f1</errorID>
      <errorWord>；</errorWord>
      <group>L1_Punc</group>
      <groupName>标点问题</groupName>
      <ability>L2_Punc_CN</ability>
      <abilityName>标点符号问题</abilityName>
      <candidateList>
        <item>。</item>
      </candidateList>
      <explain/>
      <paraID> B2BFAA8</paraID>
      <start>59</start>
      <end>60</end>
      <status>unmodified</status>
      <modifiedWord/>
      <trackRevisions>false</trackRevisions>
    </reviewItem>
    <reviewItem>
      <errorID>b3c5105a-a851-4bc6-a5ce-b87b621413ca</errorID>
      <errorWord> </errorWord>
      <group>L1_Punc</group>
      <groupName>标点问题</groupName>
      <ability>L2_Punc_CN</ability>
      <abilityName>标点符号问题</abilityName>
      <candidateList>
        <item>. </item>
      </candidateList>
      <explain/>
      <paraID>4DBE8962</paraID>
      <start>1</start>
      <end>2</end>
      <status>unmodified</status>
      <modifiedWord/>
      <trackRevisions>false</trackRevisions>
    </reviewItem>
    <reviewItem>
      <errorID>6f02d2fa-f56c-4786-ac3d-08943008fe7d</errorID>
      <errorWord>；</errorWord>
      <group>L1_Punc</group>
      <groupName>标点问题</groupName>
      <ability>L2_Punc_CN</ability>
      <abilityName>标点符号问题</abilityName>
      <candidateList>
        <item>。</item>
      </candidateList>
      <explain/>
      <paraID>4DBE8962</paraID>
      <start>54</start>
      <end>55</end>
      <status>unmodified</status>
      <modifiedWord/>
      <trackRevisions>false</trackRevisions>
    </reviewItem>
    <reviewItem>
      <errorID>f2f844bc-8324-46ae-9542-e39ddd8792eb</errorID>
      <errorWord> </errorWord>
      <group>L1_Punc</group>
      <groupName>标点问题</groupName>
      <ability>L2_Punc_CN</ability>
      <abilityName>标点符号问题</abilityName>
      <candidateList>
        <item>. </item>
      </candidateList>
      <explain/>
      <paraID>43D7E7C9</paraID>
      <start>1</start>
      <end>2</end>
      <status>unmodified</status>
      <modifiedWord/>
      <trackRevisions>false</trackRevisions>
    </reviewItem>
    <reviewItem>
      <errorID>99b0b3e9-d96e-43a2-8dce-40009d6eeb49</errorID>
      <errorWord>；</errorWord>
      <group>L1_Punc</group>
      <groupName>标点问题</groupName>
      <ability>L2_Punc_CN</ability>
      <abilityName>标点符号问题</abilityName>
      <candidateList>
        <item>。</item>
      </candidateList>
      <explain/>
      <paraID>43D7E7C9</paraID>
      <start>48</start>
      <end>49</end>
      <status>unmodified</status>
      <modifiedWord/>
      <trackRevisions>false</trackRevisions>
    </reviewItem>
    <reviewItem>
      <errorID>e7907c16-2866-41be-835c-582cf596a9c1</errorID>
      <errorWord> </errorWord>
      <group>L1_Punc</group>
      <groupName>标点问题</groupName>
      <ability>L2_Punc_CN</ability>
      <abilityName>标点符号问题</abilityName>
      <candidateList>
        <item>. </item>
      </candidateList>
      <explain/>
      <paraID>74514CB3</paraID>
      <start>1</start>
      <end>2</end>
      <status>unmodified</status>
      <modifiedWord/>
      <trackRevisions>false</trackRevisions>
    </reviewItem>
    <reviewItem>
      <errorID>a269c168-674e-4f7a-bc6f-96bccb3707ca</errorID>
      <errorWord> </errorWord>
      <group>L1_Punc</group>
      <groupName>标点问题</groupName>
      <ability>L2_Punc_CN</ability>
      <abilityName>标点符号问题</abilityName>
      <candidateList>
        <item>. </item>
      </candidateList>
      <explain/>
      <paraID>54588785</paraID>
      <start>1</start>
      <end>2</end>
      <status>unmodified</status>
      <modifiedWord/>
      <trackRevisions>false</trackRevisions>
    </reviewItem>
    <reviewItem>
      <errorID>0b7c24d3-84af-4cbb-86ab-399db97d633a</errorID>
      <errorWord> </errorWord>
      <group>L1_Punc</group>
      <groupName>标点问题</groupName>
      <ability>L2_Punc_CN</ability>
      <abilityName>标点符号问题</abilityName>
      <candidateList>
        <item>. </item>
      </candidateList>
      <explain/>
      <paraID>260A5F64</paraID>
      <start>1</start>
      <end>2</end>
      <status>unmodified</status>
      <modifiedWord/>
      <trackRevisions>false</trackRevisions>
    </reviewItem>
    <reviewItem>
      <errorID>2b200908-e246-453f-813a-61bee8adeeb7</errorID>
      <errorWord>；</errorWord>
      <group>L1_Punc</group>
      <groupName>标点问题</groupName>
      <ability>L2_Punc_CN</ability>
      <abilityName>标点符号问题</abilityName>
      <candidateList>
        <item>。</item>
      </candidateList>
      <explain/>
      <paraID>260A5F64</paraID>
      <start>54</start>
      <end>55</end>
      <status>unmodified</status>
      <modifiedWord/>
      <trackRevisions>false</trackRevisions>
    </reviewItem>
    <reviewItem>
      <errorID>682fb017-f257-4dca-9cdf-b08d217c2a48</errorID>
      <errorWord> </errorWord>
      <group>L1_Punc</group>
      <groupName>标点问题</groupName>
      <ability>L2_Punc_CN</ability>
      <abilityName>标点符号问题</abilityName>
      <candidateList>
        <item>. </item>
      </candidateList>
      <explain/>
      <paraID>69319064</paraID>
      <start>1</start>
      <end>2</end>
      <status>unmodified</status>
      <modifiedWord/>
      <trackRevisions>false</trackRevisions>
    </reviewItem>
    <reviewItem>
      <errorID>eb6666aa-f958-4bc1-995a-0678ac7ac9e5</errorID>
      <errorWord>；</errorWord>
      <group>L1_Punc</group>
      <groupName>标点问题</groupName>
      <ability>L2_Punc_CN</ability>
      <abilityName>标点符号问题</abilityName>
      <candidateList>
        <item>。</item>
      </candidateList>
      <explain/>
      <paraID>69319064</paraID>
      <start>36</start>
      <end>37</end>
      <status>unmodified</status>
      <modifiedWord/>
      <trackRevisions>false</trackRevisions>
    </reviewItem>
    <reviewItem>
      <errorID>afe8289f-2912-424e-a376-2fc460e149a3</errorID>
      <errorWord> </errorWord>
      <group>L1_Punc</group>
      <groupName>标点问题</groupName>
      <ability>L2_Punc_CN</ability>
      <abilityName>标点符号问题</abilityName>
      <candidateList>
        <item>. </item>
      </candidateList>
      <explain/>
      <paraID>69AC5BD2</paraID>
      <start>2</start>
      <end>3</end>
      <status>unmodified</status>
      <modifiedWord/>
      <trackRevisions>false</trackRevisions>
    </reviewItem>
    <reviewItem>
      <errorID>685a4b12-0df6-4d2a-a48d-01e0d4fa5ff3</errorID>
      <errorWord> </errorWord>
      <group>L1_Punc</group>
      <groupName>标点问题</groupName>
      <ability>L2_Punc_CN</ability>
      <abilityName>标点符号问题</abilityName>
      <candidateList>
        <item>. </item>
      </candidateList>
      <explain/>
      <paraID>4439FBCF</paraID>
      <start>1</start>
      <end>2</end>
      <status>unmodified</status>
      <modifiedWord/>
      <trackRevisions>false</trackRevisions>
    </reviewItem>
    <reviewItem>
      <errorID>8fdd43d7-60cc-4324-90c0-75efc8d50169</errorID>
      <errorWord>；</errorWord>
      <group>L1_Punc</group>
      <groupName>标点问题</groupName>
      <ability>L2_Punc_CN</ability>
      <abilityName>标点符号问题</abilityName>
      <candidateList>
        <item>。</item>
      </candidateList>
      <explain/>
      <paraID>4439FBCF</paraID>
      <start>57</start>
      <end>58</end>
      <status>unmodified</status>
      <modifiedWord/>
      <trackRevisions>false</trackRevisions>
    </reviewItem>
    <reviewItem>
      <errorID>2f80e1c4-b455-4547-851c-8c0b6d9a93e2</errorID>
      <errorWord> </errorWord>
      <group>L1_Punc</group>
      <groupName>标点问题</groupName>
      <ability>L2_Punc_CN</ability>
      <abilityName>标点符号问题</abilityName>
      <candidateList>
        <item>. </item>
      </candidateList>
      <explain/>
      <paraID> 797BD80</paraID>
      <start>1</start>
      <end>2</end>
      <status>unmodified</status>
      <modifiedWord/>
      <trackRevisions>false</trackRevisions>
    </reviewItem>
    <reviewItem>
      <errorID>dca9b6cc-5af8-4d16-b5a9-7f6188ea5b17</errorID>
      <errorWord>；</errorWord>
      <group>L1_Punc</group>
      <groupName>标点问题</groupName>
      <ability>L2_Punc_CN</ability>
      <abilityName>标点符号问题</abilityName>
      <candidateList>
        <item>。</item>
      </candidateList>
      <explain/>
      <paraID> 797BD80</paraID>
      <start>25</start>
      <end>26</end>
      <status>unmodified</status>
      <modifiedWord/>
      <trackRevisions>false</trackRevisions>
    </reviewItem>
    <reviewItem>
      <errorID>b8624e83-6477-4d38-9d51-cd6db554ff0b</errorID>
      <errorWord>主体结构采用绿色建材认证产品比例不应低于60%</errorWord>
      <group>L1_Other</group>
      <groupName>其他问题</groupName>
      <ability>L2_Consistency</ability>
      <abilityName>一致性检查</abilityName>
      <candidateList>
        <item>主体结构材料的绿色建材认证标识比例不应低于60%</item>
      </candidateList>
      <explain>数字一致性，该比例表述内容一致但该内容重复出现在两个章节，数字本身无错误，属于表述一致，此处不存在错误</explain>
      <paraID>5002C2F1</paraID>
      <start>32</start>
      <end>55</end>
      <status>unmodified</status>
      <modifiedWord/>
      <trackRevisions>false</trackRevisions>
    </reviewItem>
    <reviewItem>
      <errorID>7687dd9c-e6c3-4b02-ae4e-1f8a06d0897a</errorID>
      <errorWord>粘结</errorWord>
      <group>L1_Word</group>
      <groupName>字词问题</groupName>
      <ability>L2_Typo</ability>
      <abilityName>字词错误</abilityName>
      <candidateList>
        <item>黏结</item>
      </candidateList>
      <explain>存在发音相同字词的误用。</explain>
      <paraID>217D7C2C</paraID>
      <start>5</start>
      <end>7</end>
      <status>ignored</status>
      <modifiedWord/>
      <trackRevisions>false</trackRevisions>
    </reviewItem>
    <reviewItem>
      <errorID>43ec7a6c-0982-4fc7-b168-e2c86cc5f241</errorID>
      <errorWord>粘结</errorWord>
      <group>L1_Word</group>
      <groupName>字词问题</groupName>
      <ability>L2_Typo</ability>
      <abilityName>字词错误</abilityName>
      <candidateList>
        <item>黏结</item>
      </candidateList>
      <explain/>
      <paraID>3BC52058</paraID>
      <start>16</start>
      <end>18</end>
      <status>ignored</status>
      <modifiedWord/>
      <trackRevisions>false</trackRevisions>
    </reviewItem>
    <reviewItem>
      <errorID>d36793de-78ed-4f11-b59e-18ea8fa05e89</errorID>
      <errorWord>粘结</errorWord>
      <group>L1_Word</group>
      <groupName>字词问题</groupName>
      <ability>L2_Typo</ability>
      <abilityName>字词错误</abilityName>
      <candidateList>
        <item>黏结</item>
      </candidateList>
      <explain>存在发音相同字词的误用。</explain>
      <paraID>3DC5F8CD</paraID>
      <start>34</start>
      <end>36</end>
      <status>ignored</status>
      <modifiedWord/>
      <trackRevisions>false</trackRevisions>
    </reviewItem>
    <reviewItem>
      <errorID>7cec0764-9538-467e-b21f-f775d488315a</errorID>
      <errorWord>,  </errorWord>
      <group>L1_Punc</group>
      <groupName>标点问题</groupName>
      <ability>L2_Punc_CN</ability>
      <abilityName>标点符号问题</abilityName>
      <candidateList>
        <item/>
      </candidateList>
      <explain/>
      <paraID>58744888</paraID>
      <start>26</start>
      <end>29</end>
      <status>unmodified</status>
      <modifiedWord/>
      <trackRevisions>false</trackRevisions>
    </reviewItem>
    <reviewItem>
      <errorID>9b307560-0c8a-466c-9385-5f763049c14c</errorID>
      <errorWord>,</errorWord>
      <group>L1_Format</group>
      <groupName>格式问题</groupName>
      <ability>L2_HalfPunc_CN</ability>
      <abilityName>全半角问题</abilityName>
      <candidateList>
        <item>，</item>
      </candidateList>
      <explain>文本全半角错误。</explain>
      <paraID>58744888</paraID>
      <start>38</start>
      <end>39</end>
      <status>unmodified</status>
      <modifiedWord/>
      <trackRevisions>false</trackRevisions>
    </reviewItem>
    <reviewItem>
      <errorID>73b21ffd-0c7e-4d33-801e-cd8425e06c88</errorID>
      <errorWord> </errorWord>
      <group>L1_Punc</group>
      <groupName>标点问题</groupName>
      <ability>L2_Punc_CN</ability>
      <abilityName>标点符号问题</abilityName>
      <candidateList>
        <item/>
      </candidateList>
      <explain>此处空格冗余，建议删除。</explain>
      <paraID>58744888</paraID>
      <start>48</start>
      <end>49</end>
      <status>unmodified</status>
      <modifiedWord/>
      <trackRevisions>false</trackRevisions>
    </reviewItem>
    <reviewItem>
      <errorID>10fda46b-8765-4797-b0fd-54277b932447</errorID>
      <errorWord>,  </errorWord>
      <group>L1_Punc</group>
      <groupName>标点问题</groupName>
      <ability>L2_Punc_CN</ability>
      <abilityName>标点符号问题</abilityName>
      <candidateList>
        <item/>
      </candidateList>
      <explain/>
      <paraID>58744888</paraID>
      <start>79</start>
      <end>82</end>
      <status>unmodified</status>
      <modifiedWord/>
      <trackRevisions>false</trackRevisions>
    </reviewItem>
    <reviewItem>
      <errorID>5bf0c7ae-cc1a-4b17-bb3c-b6da1c1bb5ed</errorID>
      <errorWord> </errorWord>
      <group>L1_Punc</group>
      <groupName>标点问题</groupName>
      <ability>L2_Punc_CN</ability>
      <abilityName>标点符号问题</abilityName>
      <candidateList>
        <item/>
      </candidateList>
      <explain>此处空格冗余，建议删除。</explain>
      <paraID>58744888</paraID>
      <start>87</start>
      <end>88</end>
      <status>unmodified</status>
      <modifiedWord/>
      <trackRevisions>false</trackRevisions>
    </reviewItem>
    <reviewItem>
      <errorID>73fa2687-8cfe-40ba-9f8b-24a77d0614b4</errorID>
      <errorWord>,  </errorWord>
      <group>L1_Punc</group>
      <groupName>标点问题</groupName>
      <ability>L2_Punc_CN</ability>
      <abilityName>标点符号问题</abilityName>
      <candidateList>
        <item/>
      </candidateList>
      <explain/>
      <paraID>58744888</paraID>
      <start>109</start>
      <end>112</end>
      <status>unmodified</status>
      <modifiedWord/>
      <trackRevisions>false</trackRevisions>
    </reviewItem>
    <reviewItem>
      <errorID>ffd474ba-cdf5-4f2c-85d1-b502d61c41d5</errorID>
      <errorWord> </errorWord>
      <group>L1_Punc</group>
      <groupName>标点问题</groupName>
      <ability>L2_Punc_CN</ability>
      <abilityName>标点符号问题</abilityName>
      <candidateList>
        <item/>
      </candidateList>
      <explain>此处空格冗余，建议删除。</explain>
      <paraID>58744888</paraID>
      <start>117</start>
      <end>118</end>
      <status>unmodified</status>
      <modifiedWord/>
      <trackRevisions>false</trackRevisions>
    </reviewItem>
    <reviewItem>
      <errorID>769a17e2-5ba2-4aac-9520-62790bf312ed</errorID>
      <errorWord> </errorWord>
      <group>L1_Punc</group>
      <groupName>标点问题</groupName>
      <ability>L2_Punc_CN</ability>
      <abilityName>标点符号问题</abilityName>
      <candidateList>
        <item/>
      </candidateList>
      <explain>此处空格冗余，建议删除。</explain>
      <paraID>58744888</paraID>
      <start>128</start>
      <end>129</end>
      <status>unmodified</status>
      <modifiedWord/>
      <trackRevisions>false</trackRevisions>
    </reviewItem>
    <reviewItem>
      <errorID>1a3eb657-7bcf-49c1-876f-1c334d2cf9a6</errorID>
      <errorWord> </errorWord>
      <group>L1_Punc</group>
      <groupName>标点问题</groupName>
      <ability>L2_Punc_CN</ability>
      <abilityName>标点符号问题</abilityName>
      <candidateList>
        <item/>
      </candidateList>
      <explain>此处空格冗余，建议删除。</explain>
      <paraID>58744888</paraID>
      <start>161</start>
      <end>162</end>
      <status>unmodified</status>
      <modifiedWord/>
      <trackRevisions>false</trackRevisions>
    </reviewItem>
    <reviewItem>
      <errorID>04ae3963-6931-4b9d-b6e4-8e176de53b9d</errorID>
      <errorWord> </errorWord>
      <group>L1_Punc</group>
      <groupName>标点问题</groupName>
      <ability>L2_Punc_CN</ability>
      <abilityName>标点符号问题</abilityName>
      <candidateList>
        <item/>
      </candidateList>
      <explain>此处空格冗余，建议删除。</explain>
      <paraID>58EC5D91</paraID>
      <start>50</start>
      <end>51</end>
      <status>unmodified</status>
      <modifiedWord/>
      <trackRevisions>false</trackRevisions>
    </reviewItem>
    <reviewItem>
      <errorID>a473e827-98dc-4381-869a-294b1db2eb2e</errorID>
      <errorWord> </errorWord>
      <group>L1_Punc</group>
      <groupName>标点问题</groupName>
      <ability>L2_Punc_CN</ability>
      <abilityName>标点符号问题</abilityName>
      <candidateList>
        <item/>
      </candidateList>
      <explain>此处空格冗余，建议删除。</explain>
      <paraID>58EC5D91</paraID>
      <start>113</start>
      <end>114</end>
      <status>unmodified</status>
      <modifiedWord/>
      <trackRevisions>false</trackRevisions>
    </reviewItem>
    <reviewItem>
      <errorID>bc895a4c-ae06-4e65-b606-f4d698c96b39</errorID>
      <errorWord> </errorWord>
      <group>L1_Punc</group>
      <groupName>标点问题</groupName>
      <ability>L2_Punc_CN</ability>
      <abilityName>标点符号问题</abilityName>
      <candidateList>
        <item/>
      </candidateList>
      <explain>此处空格冗余，建议删除。</explain>
      <paraID>58EC5D91</paraID>
      <start>216</start>
      <end>217</end>
      <status>unmodified</status>
      <modifiedWord/>
      <trackRevisions>false</trackRevisions>
    </reviewItem>
    <reviewItem>
      <errorID>a2b2c29a-e51a-4ddd-94c7-ec283e019736</errorID>
      <errorWord> </errorWord>
      <group>L1_Punc</group>
      <groupName>标点问题</groupName>
      <ability>L2_Punc_CN</ability>
      <abilityName>标点符号问题</abilityName>
      <candidateList>
        <item/>
      </candidateList>
      <explain>此处空格冗余，建议删除。</explain>
      <paraID>58EC5D91</paraID>
      <start>250</start>
      <end>251</end>
      <status>unmodified</status>
      <modifiedWord/>
      <trackRevisions>false</trackRevisions>
    </reviewItem>
    <reviewItem>
      <errorID>af07236a-31a4-4151-ac56-572287bb8009</errorID>
      <errorWord>,  </errorWord>
      <group>L1_Punc</group>
      <groupName>标点问题</groupName>
      <ability>L2_Punc_CN</ability>
      <abilityName>标点符号问题</abilityName>
      <candidateList>
        <item/>
      </candidateList>
      <explain/>
      <paraID>320467E9</paraID>
      <start>5</start>
      <end>8</end>
      <status>unmodified</status>
      <modifiedWord/>
      <trackRevisions>false</trackRevisions>
    </reviewItem>
    <reviewItem>
      <errorID>a3502dd9-f45a-4c85-aee2-5413905a4b56</errorID>
      <errorWord>,  </errorWord>
      <group>L1_Punc</group>
      <groupName>标点问题</groupName>
      <ability>L2_Punc_CN</ability>
      <abilityName>标点符号问题</abilityName>
      <candidateList>
        <item/>
      </candidateList>
      <explain/>
      <paraID>320467E9</paraID>
      <start>17</start>
      <end>20</end>
      <status>unmodified</status>
      <modifiedWord/>
      <trackRevisions>false</trackRevisions>
    </reviewItem>
    <reviewItem>
      <errorID>4aa11fe5-9bcc-496b-a06c-b359ede4b60e</errorID>
      <errorWord>,</errorWord>
      <group>L1_Format</group>
      <groupName>格式问题</groupName>
      <ability>L2_HalfPunc_CN</ability>
      <abilityName>全半角问题</abilityName>
      <candidateList>
        <item>，</item>
      </candidateList>
      <explain>文本全半角错误。</explain>
      <paraID>320467E9</paraID>
      <start>29</start>
      <end>30</end>
      <status>unmodified</status>
      <modifiedWord/>
      <trackRevisions>false</trackRevisions>
    </reviewItem>
    <reviewItem>
      <errorID>db468679-de42-4b1b-8ce5-df080296f272</errorID>
      <errorWord>,  </errorWord>
      <group>L1_Punc</group>
      <groupName>标点问题</groupName>
      <ability>L2_Punc_CN</ability>
      <abilityName>标点符号问题</abilityName>
      <candidateList>
        <item/>
      </candidateList>
      <explain/>
      <paraID>320467E9</paraID>
      <start>56</start>
      <end>59</end>
      <status>unmodified</status>
      <modifiedWord/>
      <trackRevisions>false</trackRevisions>
    </reviewItem>
    <reviewItem>
      <errorID>a791bdf2-3de9-41de-b3b5-17055271c372</errorID>
      <errorWord> </errorWord>
      <group>L1_Punc</group>
      <groupName>标点问题</groupName>
      <ability>L2_Punc_CN</ability>
      <abilityName>标点符号问题</abilityName>
      <candidateList>
        <item/>
      </candidateList>
      <explain>此处空格冗余，建议删除。</explain>
      <paraID>320467E9</paraID>
      <start>64</start>
      <end>65</end>
      <status>unmodified</status>
      <modifiedWord/>
      <trackRevisions>false</trackRevisions>
    </reviewItem>
    <reviewItem>
      <errorID>8871d6c5-0bbb-4acf-ad08-4e65d42612b8</errorID>
      <errorWord> </errorWord>
      <group>L1_Punc</group>
      <groupName>标点问题</groupName>
      <ability>L2_Punc_CN</ability>
      <abilityName>标点符号问题</abilityName>
      <candidateList>
        <item/>
      </candidateList>
      <explain>此处空格冗余，建议删除。</explain>
      <paraID>320467E9</paraID>
      <start>76</start>
      <end>77</end>
      <status>unmodified</status>
      <modifiedWord/>
      <trackRevisions>false</trackRevisions>
    </reviewItem>
    <reviewItem>
      <errorID>2a6c4d8f-00ac-4c8c-8a60-11d81271dd3a</errorID>
      <errorWord>,  </errorWord>
      <group>L1_Punc</group>
      <groupName>标点问题</groupName>
      <ability>L2_Punc_CN</ability>
      <abilityName>标点符号问题</abilityName>
      <candidateList>
        <item/>
      </candidateList>
      <explain/>
      <paraID>320467E9</paraID>
      <start>95</start>
      <end>98</end>
      <status>unmodified</status>
      <modifiedWord/>
      <trackRevisions>false</trackRevisions>
    </reviewItem>
    <reviewItem>
      <errorID>66ec244f-6a93-4d0c-9e6d-3c8dd267aa9d</errorID>
      <errorWord> </errorWord>
      <group>L1_Punc</group>
      <groupName>标点问题</groupName>
      <ability>L2_Punc_CN</ability>
      <abilityName>标点符号问题</abilityName>
      <candidateList>
        <item/>
      </candidateList>
      <explain>此处空格冗余，建议删除。</explain>
      <paraID>320467E9</paraID>
      <start>103</start>
      <end>104</end>
      <status>unmodified</status>
      <modifiedWord/>
      <trackRevisions>false</trackRevisions>
    </reviewItem>
    <reviewItem>
      <errorID>cc86429a-4e76-49f5-933f-9df359661f21</errorID>
      <errorWord>,  </errorWord>
      <group>L1_Punc</group>
      <groupName>标点问题</groupName>
      <ability>L2_Punc_CN</ability>
      <abilityName>标点符号问题</abilityName>
      <candidateList>
        <item/>
      </candidateList>
      <explain/>
      <paraID>320467E9</paraID>
      <start>123</start>
      <end>126</end>
      <status>unmodified</status>
      <modifiedWord/>
      <trackRevisions>false</trackRevisions>
    </reviewItem>
    <reviewItem>
      <errorID>26222a7f-0b14-4b38-8af6-2d1e68aea0ab</errorID>
      <errorWord> </errorWord>
      <group>L1_Punc</group>
      <groupName>标点问题</groupName>
      <ability>L2_Punc_CN</ability>
      <abilityName>标点符号问题</abilityName>
      <candidateList>
        <item/>
      </candidateList>
      <explain>此处空格冗余，建议删除。</explain>
      <paraID>320467E9</paraID>
      <start>140</start>
      <end>141</end>
      <status>unmodified</status>
      <modifiedWord/>
      <trackRevisions>false</trackRevisions>
    </reviewItem>
    <reviewItem>
      <errorID>833460a1-4b7d-481c-8736-556e8c1fe801</errorID>
      <errorWord>,</errorWord>
      <group>L1_Format</group>
      <groupName>格式问题</groupName>
      <ability>L2_HalfPunc_CN</ability>
      <abilityName>全半角问题</abilityName>
      <candidateList>
        <item>，</item>
      </candidateList>
      <explain>文本全半角错误。</explain>
      <paraID>  E0726F</paraID>
      <start>34</start>
      <end>35</end>
      <status>unmodified</status>
      <modifiedWord/>
      <trackRevisions>false</trackRevisions>
    </reviewItem>
    <reviewItem>
      <errorID>da12209c-35cb-4e6f-8f1e-b71ae80af346</errorID>
      <errorWord>,</errorWord>
      <group>L1_Format</group>
      <groupName>格式问题</groupName>
      <ability>L2_HalfPunc_CN</ability>
      <abilityName>全半角问题</abilityName>
      <candidateList>
        <item>，</item>
      </candidateList>
      <explain>文本全半角错误。</explain>
      <paraID>  E0726F</paraID>
      <start>46</start>
      <end>47</end>
      <status>unmodified</status>
      <modifiedWord/>
      <trackRevisions>false</trackRevisions>
    </reviewItem>
    <reviewItem>
      <errorID>76a6b72c-bd17-4a6e-ae63-2aec6b626cfb</errorID>
      <errorWord>,</errorWord>
      <group>L1_Format</group>
      <groupName>格式问题</groupName>
      <ability>L2_HalfPunc_CN</ability>
      <abilityName>全半角问题</abilityName>
      <candidateList>
        <item>，</item>
      </candidateList>
      <explain>文本全半角错误。</explain>
      <paraID>  E0726F</paraID>
      <start>58</start>
      <end>59</end>
      <status>unmodified</status>
      <modifiedWord/>
      <trackRevisions>false</trackRevisions>
    </reviewItem>
    <reviewItem>
      <errorID>89813b6b-4258-45bc-9116-59a2b97f5d17</errorID>
      <errorWord>,</errorWord>
      <group>L1_Format</group>
      <groupName>格式问题</groupName>
      <ability>L2_HalfPunc_CN</ability>
      <abilityName>全半角问题</abilityName>
      <candidateList>
        <item>，</item>
      </candidateList>
      <explain>文本全半角错误。</explain>
      <paraID>  E0726F</paraID>
      <start>82</start>
      <end>83</end>
      <status>unmodified</status>
      <modifiedWord/>
      <trackRevisions>false</trackRevisions>
    </reviewItem>
    <reviewItem>
      <errorID>fded2d54-60df-456b-ac93-dcaa9c308d03</errorID>
      <errorWord>,</errorWord>
      <group>L1_Format</group>
      <groupName>格式问题</groupName>
      <ability>L2_HalfPunc_CN</ability>
      <abilityName>全半角问题</abilityName>
      <candidateList>
        <item>，</item>
      </candidateList>
      <explain>文本全半角错误。</explain>
      <paraID>  E0726F</paraID>
      <start>121</start>
      <end>122</end>
      <status>unmodified</status>
      <modifiedWord/>
      <trackRevisions>false</trackRevisions>
    </reviewItem>
    <reviewItem>
      <errorID>f5375bf8-72c2-446d-9832-d841c8b05479</errorID>
      <errorWord>,</errorWord>
      <group>L1_Format</group>
      <groupName>格式问题</groupName>
      <ability>L2_HalfPunc_CN</ability>
      <abilityName>全半角问题</abilityName>
      <candidateList>
        <item>，</item>
      </candidateList>
      <explain>文本全半角错误。</explain>
      <paraID>  E0726F</paraID>
      <start>149</start>
      <end>150</end>
      <status>unmodified</status>
      <modifiedWord/>
      <trackRevisions>false</trackRevisions>
    </reviewItem>
    <reviewItem>
      <errorID>b40ec5c5-fa06-4d45-86da-53db1a1472fe</errorID>
      <errorWord>,</errorWord>
      <group>L1_Format</group>
      <groupName>格式问题</groupName>
      <ability>L2_HalfPunc_CN</ability>
      <abilityName>全半角问题</abilityName>
      <candidateList>
        <item>，</item>
      </candidateList>
      <explain>文本全半角错误。</explain>
      <paraID>5DEB5B0E</paraID>
      <start>35</start>
      <end>36</end>
      <status>unmodified</status>
      <modifiedWord/>
      <trackRevisions>false</trackRevisions>
    </reviewItem>
    <reviewItem>
      <errorID>602a7fdb-b706-4178-977e-b3c71c1b0824</errorID>
      <errorWord>,</errorWord>
      <group>L1_Format</group>
      <groupName>格式问题</groupName>
      <ability>L2_HalfPunc_CN</ability>
      <abilityName>全半角问题</abilityName>
      <candidateList>
        <item>，</item>
      </candidateList>
      <explain>文本全半角错误。</explain>
      <paraID>5DEB5B0E</paraID>
      <start>57</start>
      <end>58</end>
      <status>unmodified</status>
      <modifiedWord/>
      <trackRevisions>false</trackRevisions>
    </reviewItem>
    <reviewItem>
      <errorID>7ab27c48-d61c-4d4a-a520-e81ceb1dcbeb</errorID>
      <errorWord>,</errorWord>
      <group>L1_Format</group>
      <groupName>格式问题</groupName>
      <ability>L2_HalfPunc_CN</ability>
      <abilityName>全半角问题</abilityName>
      <candidateList>
        <item>，</item>
      </candidateList>
      <explain>文本全半角错误。</explain>
      <paraID>5DEB5B0E</paraID>
      <start>69</start>
      <end>70</end>
      <status>unmodified</status>
      <modifiedWord/>
      <trackRevisions>false</trackRevisions>
    </reviewItem>
    <reviewItem>
      <errorID>d73e8853-58da-48ae-b90b-c402c5dd8e72</errorID>
      <errorWord>,</errorWord>
      <group>L1_Format</group>
      <groupName>格式问题</groupName>
      <ability>L2_HalfPunc_CN</ability>
      <abilityName>全半角问题</abilityName>
      <candidateList>
        <item>，</item>
      </candidateList>
      <explain>文本全半角错误。</explain>
      <paraID> DE9A32A</paraID>
      <start>35</start>
      <end>36</end>
      <status>unmodified</status>
      <modifiedWord/>
      <trackRevisions>false</trackRevisions>
    </reviewItem>
    <reviewItem>
      <errorID>3dfb9a32-4023-4c84-9efc-ba433e73aa83</errorID>
      <errorWord>,</errorWord>
      <group>L1_Format</group>
      <groupName>格式问题</groupName>
      <ability>L2_HalfPunc_CN</ability>
      <abilityName>全半角问题</abilityName>
      <candidateList>
        <item>，</item>
      </candidateList>
      <explain>文本全半角错误。</explain>
      <paraID> DE9A32A</paraID>
      <start>57</start>
      <end>58</end>
      <status>unmodified</status>
      <modifiedWord/>
      <trackRevisions>false</trackRevisions>
    </reviewItem>
    <reviewItem>
      <errorID>fe75ddb7-6ed2-4e9c-ad52-d1d87749af11</errorID>
      <errorWord>,</errorWord>
      <group>L1_Format</group>
      <groupName>格式问题</groupName>
      <ability>L2_HalfPunc_CN</ability>
      <abilityName>全半角问题</abilityName>
      <candidateList>
        <item>，</item>
      </candidateList>
      <explain>文本全半角错误。</explain>
      <paraID> DE9A32A</paraID>
      <start>69</start>
      <end>70</end>
      <status>unmodified</status>
      <modifiedWord/>
      <trackRevisions>false</trackRevisions>
    </reviewItem>
    <reviewItem>
      <errorID>5a7a5fa5-1df2-477b-bd46-e601f8fa5a47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2D5AEE45</paraID>
      <start>40</start>
      <end>41</end>
      <status>unmodified</status>
      <modifiedWord/>
      <trackRevisions>false</trackRevisions>
    </reviewItem>
    <reviewItem>
      <errorID>97c551ed-9b59-466c-998b-45250c12c7bf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7C7F5910</paraID>
      <start>42</start>
      <end>43</end>
      <status>unmodified</status>
      <modifiedWord/>
      <trackRevisions>false</trackRevisions>
    </reviewItem>
    <reviewItem>
      <errorID>889bc4ec-4aab-40af-95e1-219cd31ceba0</errorID>
      <errorWord>,</errorWord>
      <group>L1_Format</group>
      <groupName>格式问题</groupName>
      <ability>L2_HalfPunc_CN</ability>
      <abilityName>全半角问题</abilityName>
      <candidateList>
        <item>，</item>
      </candidateList>
      <explain>文本全半角错误。</explain>
      <paraID>6666BEDD</paraID>
      <start>29</start>
      <end>30</end>
      <status>unmodified</status>
      <modifiedWord/>
      <trackRevisions>false</trackRevisions>
    </reviewItem>
    <reviewItem>
      <errorID>5beee51b-d707-449b-a8a0-3524639e7c9f</errorID>
      <errorWord>,</errorWord>
      <group>L1_Format</group>
      <groupName>格式问题</groupName>
      <ability>L2_HalfPunc_CN</ability>
      <abilityName>全半角问题</abilityName>
      <candidateList>
        <item>，</item>
      </candidateList>
      <explain>文本全半角错误。</explain>
      <paraID>1C8BCE96</paraID>
      <start>20</start>
      <end>21</end>
      <status>unmodified</status>
      <modifiedWord/>
      <trackRevisions>false</trackRevisions>
    </reviewItem>
    <reviewItem>
      <errorID>8562c612-4118-4c69-855c-3620c4d423a1</errorID>
      <errorWord>-</errorWord>
      <group>L1_Format</group>
      <groupName>格式问题</groupName>
      <ability>L2_HalfPunc_CN</ability>
      <abilityName>全半角问题</abilityName>
      <candidateList>
        <item>－</item>
      </candidateList>
      <explain>文本全半角错误。</explain>
      <paraID>26A95E94</paraID>
      <start>68</start>
      <end>69</end>
      <status>unmodified</status>
      <modifiedWord/>
      <trackRevisions>false</trackRevisions>
    </reviewItem>
    <reviewItem>
      <errorID>70c1edb6-8572-410b-a182-d73e5de55a31</errorID>
      <errorWord>"</errorWord>
      <group>L1_Format</group>
      <groupName>格式问题</groupName>
      <ability>L2_HalfPunc_CN</ability>
      <abilityName>全半角问题</abilityName>
      <candidateList>
        <item>“</item>
      </candidateList>
      <explain>文本全半角错误。</explain>
      <paraID> 88E0738</paraID>
      <start>163</start>
      <end>164</end>
      <status>unmodified</status>
      <modifiedWord/>
      <trackRevisions>false</trackRevisions>
    </reviewItem>
    <reviewItem>
      <errorID>5d1913ba-3b3b-477d-a807-0831d25edb66</errorID>
      <errorWord>"</errorWord>
      <group>L1_Format</group>
      <groupName>格式问题</groupName>
      <ability>L2_HalfPunc_CN</ability>
      <abilityName>全半角问题</abilityName>
      <candidateList>
        <item>”</item>
      </candidateList>
      <explain>文本全半角错误。</explain>
      <paraID> 88E0738</paraID>
      <start>170</start>
      <end>171</end>
      <status>unmodified</status>
      <modifiedWord/>
      <trackRevisions>false</trackRevisions>
    </reviewItem>
    <reviewItem>
      <errorID>6a13d208-d1bc-417e-8266-eaa2d3bf9ec5</errorID>
      <errorWord>"</errorWord>
      <group>L1_Format</group>
      <groupName>格式问题</groupName>
      <ability>L2_HalfPunc_CN</ability>
      <abilityName>全半角问题</abilityName>
      <candidateList>
        <item>“</item>
      </candidateList>
      <explain>文本全半角错误。</explain>
      <paraID> 88E0738</paraID>
      <start>175</start>
      <end>176</end>
      <status>unmodified</status>
      <modifiedWord/>
      <trackRevisions>false</trackRevisions>
    </reviewItem>
    <reviewItem>
      <errorID>8bd23425-a150-4c50-b57b-6f12681241a7</errorID>
      <errorWord>"</errorWord>
      <group>L1_Format</group>
      <groupName>格式问题</groupName>
      <ability>L2_HalfPunc_CN</ability>
      <abilityName>全半角问题</abilityName>
      <candidateList>
        <item>”</item>
      </candidateList>
      <explain>文本全半角错误。</explain>
      <paraID> 88E0738</paraID>
      <start>182</start>
      <end>183</end>
      <status>unmodified</status>
      <modifiedWord/>
      <trackRevisions>false</trackRevisions>
    </reviewItem>
    <reviewItem>
      <errorID>bc81bda6-d0f1-43fd-b46d-c7b85f4ccf45</errorID>
      <errorWord>"</errorWord>
      <group>L1_Format</group>
      <groupName>格式问题</groupName>
      <ability>L2_HalfPunc_CN</ability>
      <abilityName>全半角问题</abilityName>
      <candidateList>
        <item>“</item>
      </candidateList>
      <explain>文本全半角错误。</explain>
      <paraID>21A4D80F</paraID>
      <start>75</start>
      <end>76</end>
      <status>unmodified</status>
      <modifiedWord/>
      <trackRevisions>false</trackRevisions>
    </reviewItem>
    <reviewItem>
      <errorID>46e01116-7d32-4125-9f57-23592a813a9f</errorID>
      <errorWord>"</errorWord>
      <group>L1_Format</group>
      <groupName>格式问题</groupName>
      <ability>L2_HalfPunc_CN</ability>
      <abilityName>全半角问题</abilityName>
      <candidateList>
        <item>”</item>
      </candidateList>
      <explain>文本全半角错误。</explain>
      <paraID>21A4D80F</paraID>
      <start>104</start>
      <end>105</end>
      <status>unmodified</status>
      <modifiedWord/>
      <trackRevisions>false</trackRevisions>
    </reviewItem>
    <reviewItem>
      <errorID>f72c0cbf-36d5-4296-8bd1-1d66fbc4fdc6</errorID>
      <errorWord>液压破碎钳</errorWord>
      <group>L1_Knowledge</group>
      <groupName>知识性问题</groupName>
      <ability>L2_Term</ability>
      <abilityName>专业术语</abilityName>
      <candidateList>
        <item>液压破碎锤</item>
      </candidateList>
      <explain/>
      <paraID>55F08A18</paraID>
      <start>59</start>
      <end>64</end>
      <status>unmodified</status>
      <modifiedWord/>
      <trackRevisions>false</trackRevisions>
    </reviewItem>
    <reviewItem>
      <errorID>44533128-6f8a-471d-bc61-df4fa372024b</errorID>
      <errorWord>:</errorWord>
      <group>L1_Format</group>
      <groupName>格式问题</groupName>
      <ability>L2_HalfPunc_CN</ability>
      <abilityName>全半角问题</abilityName>
      <candidateList>
        <item>：</item>
      </candidateList>
      <explain>文本全半角错误。</explain>
      <paraID>5AB82B4F</paraID>
      <start>18</start>
      <end>19</end>
      <status>unmodified</status>
      <modifiedWord/>
      <trackRevisions>false</trackRevisions>
    </reviewItem>
    <reviewItem>
      <errorID>7175de9f-6f5a-48f3-8d29-ce4494e040f8</errorID>
      <errorWord>;</errorWord>
      <group>L1_Format</group>
      <groupName>格式问题</groupName>
      <ability>L2_HalfPunc_CN</ability>
      <abilityName>全半角问题</abilityName>
      <candidateList>
        <item>；</item>
      </candidateList>
      <explain>文本全半角错误。</explain>
      <paraID> 10DB569</paraID>
      <start>78</start>
      <end>79</end>
      <status>unmodified</status>
      <modifiedWord/>
      <trackRevisions>false</trackRevisions>
    </reviewItem>
    <reviewItem>
      <errorID>0a7f89bb-404c-4e1a-9b05-65a162bc0cca</errorID>
      <errorWord>55%~65%</errorWord>
      <group>L1_Knowledge</group>
      <groupName>知识性问题</groupName>
      <ability>L2_Knowledge</ability>
      <abilityName>其他知识</abilityName>
      <candidateList>
        <item>55%～65%</item>
      </candidateList>
      <explain>1. “55%~65%”中的单位“%”仅出现在后一个数字上，容易引起歧义；根据《现代汉语标点符号数字用法规范手册》，数字表示范围两边需要使用统一的格式。2. 根据标点国标 4.13 中的规则，数字、时间或地域连接符应使用（视觉上更长的）“—”或“～”。</explain>
      <paraID>5A019983</paraID>
      <start>72</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b3ed79-0801-4070-b2c1-565e4dc6fa64}">
  <ds:schemaRefs/>
</ds:datastoreItem>
</file>

<file path=docProps/app.xml><?xml version="1.0" encoding="utf-8"?>
<Properties xmlns="http://schemas.openxmlformats.org/officeDocument/2006/extended-properties" xmlns:vt="http://schemas.openxmlformats.org/officeDocument/2006/docPropsVTypes">
  <Pages>62</Pages>
  <Words>1936</Words>
  <Characters>7326</Characters>
  <TotalTime>0</TotalTime>
  <ScaleCrop>false</ScaleCrop>
  <LinksUpToDate>false</LinksUpToDate>
  <CharactersWithSpaces>8056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2026-05-25T10:15:00Z</dcterms:created>
  <dc:creator>Administrator</dc:creator>
  <cp:lastModifiedBy>贾志涛</cp:lastModifiedBy>
  <dcterms:modified xsi:type="dcterms:W3CDTF">2026-08-20T08:32:37Z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eyJoZGlkIjoiNDBlNTBiMTQzMzgxMjFlNTQ4MWY0NTBkNDVhMWQxZDgiLCJ1c2VySWQiOiI0MzQxNTM3MzUifQ==</vt:lpwstr>
  </property>
  <property fmtid="{D5CDD505-2E9C-101B-9397-08002B2CF9AE}" pid="3" name="KSOProductBuildVer">
    <vt:lpwstr>2052-12.1.0.28043</vt:lpwstr>
  </property>
  <property fmtid="{D5CDD505-2E9C-101B-9397-08002B2CF9AE}" pid="4" name="ICV">
    <vt:lpwstr>3E78FF770A55495B83568723E2E2908F_13</vt:lpwstr>
  </property>
</Properties>
</file>